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351" w:firstLineChars="89"/>
        <w:jc w:val="center"/>
        <w:rPr>
          <w:rFonts w:hint="eastAsia" w:ascii="Times New Roman" w:hAnsi="Times New Roman" w:cs="Times New Roman"/>
          <w:b/>
          <w:bCs/>
          <w:spacing w:val="-20"/>
          <w:w w:val="90"/>
          <w:sz w:val="48"/>
          <w:szCs w:val="4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9" w:firstLineChars="88"/>
        <w:jc w:val="center"/>
        <w:textAlignment w:val="auto"/>
        <w:outlineLvl w:val="9"/>
        <w:rPr>
          <w:rFonts w:hint="eastAsia" w:ascii="Times New Roman" w:hAnsi="Times New Roman" w:cs="Times New Roman"/>
          <w:b/>
          <w:sz w:val="52"/>
          <w:szCs w:val="52"/>
          <w:lang w:eastAsia="zh-CN"/>
        </w:rPr>
      </w:pPr>
      <w:r>
        <w:rPr>
          <w:rFonts w:hint="eastAsia" w:ascii="Times New Roman" w:hAnsi="Times New Roman" w:eastAsia="仿宋_GB2312" w:cs="Times New Roman"/>
          <w:b/>
          <w:sz w:val="52"/>
          <w:szCs w:val="52"/>
          <w:lang w:val="en-US" w:eastAsia="zh-CN"/>
        </w:rPr>
        <w:t>生产建设项目</w:t>
      </w:r>
      <w:r>
        <w:rPr>
          <w:rFonts w:hint="default" w:ascii="Times New Roman" w:hAnsi="Times New Roman" w:eastAsia="仿宋_GB2312" w:cs="Times New Roman"/>
          <w:b/>
          <w:sz w:val="52"/>
          <w:szCs w:val="52"/>
          <w:lang w:eastAsia="zh-CN"/>
        </w:rPr>
        <w:t>水土保持设施</w:t>
      </w:r>
    </w:p>
    <w:p>
      <w:pPr>
        <w:jc w:val="center"/>
        <w:rPr>
          <w:rFonts w:hint="eastAsia" w:ascii="Times New Roman" w:hAnsi="Times New Roman" w:cs="Times New Roman"/>
          <w:b/>
          <w:sz w:val="52"/>
          <w:szCs w:val="52"/>
          <w:lang w:eastAsia="zh-CN"/>
        </w:rPr>
      </w:pPr>
    </w:p>
    <w:p>
      <w:pPr>
        <w:jc w:val="center"/>
        <w:rPr>
          <w:rFonts w:hint="eastAsia" w:ascii="Times New Roman" w:hAnsi="Times New Roman" w:eastAsia="宋体" w:cs="Times New Roman"/>
          <w:b/>
          <w:sz w:val="84"/>
          <w:szCs w:val="84"/>
          <w:lang w:eastAsia="zh-CN"/>
        </w:rPr>
      </w:pPr>
      <w:r>
        <w:rPr>
          <w:rFonts w:hint="eastAsia" w:ascii="Times New Roman" w:hAnsi="Times New Roman" w:cs="Times New Roman"/>
          <w:b/>
          <w:sz w:val="84"/>
          <w:szCs w:val="84"/>
          <w:lang w:eastAsia="zh-CN"/>
        </w:rPr>
        <w:t>验收</w:t>
      </w:r>
      <w:r>
        <w:rPr>
          <w:rFonts w:hint="eastAsia" w:ascii="Times New Roman" w:hAnsi="Times New Roman" w:cs="Times New Roman"/>
          <w:b/>
          <w:sz w:val="84"/>
          <w:szCs w:val="84"/>
          <w:lang w:val="en-US" w:eastAsia="zh-CN"/>
        </w:rPr>
        <w:t>鉴定书</w:t>
      </w:r>
    </w:p>
    <w:p/>
    <w:p/>
    <w:p/>
    <w:p/>
    <w:p/>
    <w:p/>
    <w:p/>
    <w:p/>
    <w:p/>
    <w:p/>
    <w:p/>
    <w:p/>
    <w:p/>
    <w:p/>
    <w:p/>
    <w:p/>
    <w:p/>
    <w:p/>
    <w:p/>
    <w:p>
      <w:pPr>
        <w:tabs>
          <w:tab w:val="left" w:pos="1822"/>
          <w:tab w:val="left" w:pos="6928"/>
        </w:tabs>
        <w:spacing w:before="0"/>
        <w:ind w:left="0" w:right="3" w:firstLine="0"/>
        <w:jc w:val="center"/>
        <w:rPr>
          <w:rFonts w:ascii="Times New Roman" w:eastAsia="Times New Roman"/>
          <w:sz w:val="28"/>
        </w:rPr>
      </w:pPr>
      <w:r>
        <w:rPr>
          <w:rFonts w:hint="eastAsia"/>
          <w:sz w:val="28"/>
          <w:lang w:val="en-US" w:eastAsia="zh-CN"/>
        </w:rPr>
        <w:t xml:space="preserve"> </w:t>
      </w:r>
      <w:r>
        <w:rPr>
          <w:sz w:val="28"/>
        </w:rPr>
        <w:t>项 目 名 称</w:t>
      </w:r>
      <w:r>
        <w:rPr>
          <w:sz w:val="28"/>
        </w:rPr>
        <w:tab/>
      </w:r>
      <w:r>
        <w:rPr>
          <w:rFonts w:ascii="Times New Roman" w:eastAsia="Times New Roman"/>
          <w:w w:val="100"/>
          <w:sz w:val="28"/>
          <w:u w:val="single"/>
        </w:rPr>
        <w:t xml:space="preserve"> </w:t>
      </w:r>
      <w:r>
        <w:rPr>
          <w:rFonts w:hint="eastAsia" w:ascii="Times New Roman" w:eastAsia="宋体"/>
          <w:w w:val="100"/>
          <w:sz w:val="28"/>
          <w:u w:val="single"/>
          <w:lang w:val="en-US" w:eastAsia="zh-CN"/>
        </w:rPr>
        <w:t xml:space="preserve">     </w:t>
      </w:r>
      <w:r>
        <w:rPr>
          <w:rFonts w:hint="eastAsia" w:ascii="Times New Roman" w:eastAsia="宋体"/>
          <w:w w:val="100"/>
          <w:sz w:val="28"/>
          <w:u w:val="single"/>
          <w:lang w:eastAsia="zh-CN"/>
        </w:rPr>
        <w:t>瓷窑铺至电子路道路建设工程</w:t>
      </w:r>
      <w:r>
        <w:rPr>
          <w:rFonts w:ascii="Times New Roman" w:eastAsia="Times New Roman"/>
          <w:sz w:val="28"/>
          <w:u w:val="single"/>
        </w:rPr>
        <w:tab/>
      </w:r>
    </w:p>
    <w:p>
      <w:pPr>
        <w:pStyle w:val="2"/>
        <w:spacing w:before="11"/>
        <w:ind w:left="0"/>
        <w:rPr>
          <w:rFonts w:ascii="Times New Roman"/>
          <w:sz w:val="16"/>
        </w:rPr>
      </w:pPr>
    </w:p>
    <w:p>
      <w:pPr>
        <w:tabs>
          <w:tab w:val="left" w:pos="3723"/>
          <w:tab w:val="left" w:pos="8829"/>
        </w:tabs>
        <w:spacing w:before="70"/>
        <w:ind w:right="0" w:firstLine="840" w:firstLineChars="300"/>
        <w:jc w:val="left"/>
        <w:rPr>
          <w:rFonts w:ascii="Times New Roman" w:eastAsia="Times New Roman"/>
          <w:sz w:val="28"/>
        </w:rPr>
      </w:pPr>
      <w:r>
        <w:rPr>
          <w:sz w:val="28"/>
        </w:rPr>
        <w:t>项 目 编 号</w:t>
      </w:r>
      <w:r>
        <w:rPr>
          <w:rFonts w:hint="eastAsia"/>
          <w:sz w:val="28"/>
          <w:lang w:val="en-US" w:eastAsia="zh-CN"/>
        </w:rPr>
        <w:t xml:space="preserve"> </w:t>
      </w:r>
      <w:r>
        <w:rPr>
          <w:rFonts w:ascii="Times New Roman" w:eastAsia="Times New Roman"/>
          <w:w w:val="100"/>
          <w:sz w:val="28"/>
          <w:u w:val="single"/>
        </w:rPr>
        <w:t xml:space="preserve"> </w:t>
      </w:r>
      <w:r>
        <w:rPr>
          <w:rFonts w:hint="eastAsia" w:ascii="Times New Roman" w:eastAsia="宋体"/>
          <w:w w:val="100"/>
          <w:sz w:val="28"/>
          <w:u w:val="single"/>
          <w:lang w:val="en-US" w:eastAsia="zh-CN"/>
        </w:rPr>
        <w:t xml:space="preserve">      </w:t>
      </w:r>
      <w:r>
        <w:rPr>
          <w:rFonts w:hint="eastAsia" w:ascii="Times New Roman" w:eastAsia="宋体"/>
          <w:sz w:val="28"/>
          <w:u w:val="single"/>
          <w:lang w:val="en-US" w:eastAsia="zh-CN"/>
        </w:rPr>
        <w:t xml:space="preserve">广发改投资【2012】62号       </w:t>
      </w:r>
    </w:p>
    <w:p>
      <w:pPr>
        <w:pStyle w:val="2"/>
        <w:spacing w:before="11"/>
        <w:ind w:left="0"/>
        <w:rPr>
          <w:rFonts w:ascii="Times New Roman"/>
          <w:sz w:val="16"/>
        </w:rPr>
      </w:pPr>
    </w:p>
    <w:p>
      <w:pPr>
        <w:tabs>
          <w:tab w:val="left" w:pos="3723"/>
          <w:tab w:val="left" w:pos="8829"/>
        </w:tabs>
        <w:spacing w:before="70"/>
        <w:ind w:right="0" w:firstLine="840" w:firstLineChars="300"/>
        <w:jc w:val="left"/>
        <w:rPr>
          <w:rFonts w:ascii="Times New Roman" w:eastAsia="Times New Roman"/>
          <w:sz w:val="28"/>
        </w:rPr>
      </w:pPr>
      <w:r>
        <w:rPr>
          <w:sz w:val="28"/>
        </w:rPr>
        <w:t>建 设 地 点</w:t>
      </w:r>
      <w:r>
        <w:rPr>
          <w:rFonts w:hint="eastAsia"/>
          <w:sz w:val="28"/>
          <w:lang w:val="en-US" w:eastAsia="zh-CN"/>
        </w:rPr>
        <w:t xml:space="preserve"> </w:t>
      </w:r>
      <w:r>
        <w:rPr>
          <w:rFonts w:ascii="Times New Roman" w:eastAsia="Times New Roman"/>
          <w:w w:val="100"/>
          <w:sz w:val="28"/>
          <w:u w:val="single"/>
        </w:rPr>
        <w:t xml:space="preserve"> </w:t>
      </w:r>
      <w:r>
        <w:rPr>
          <w:rFonts w:hint="eastAsia" w:ascii="Times New Roman" w:eastAsia="宋体"/>
          <w:w w:val="100"/>
          <w:sz w:val="28"/>
          <w:u w:val="single"/>
          <w:lang w:val="en-US" w:eastAsia="zh-CN"/>
        </w:rPr>
        <w:t xml:space="preserve">   </w:t>
      </w:r>
      <w:r>
        <w:rPr>
          <w:rFonts w:hint="eastAsia" w:ascii="Times New Roman" w:eastAsia="宋体"/>
          <w:sz w:val="28"/>
          <w:u w:val="single"/>
          <w:lang w:val="en-US" w:eastAsia="zh-CN"/>
        </w:rPr>
        <w:t xml:space="preserve">    广元市利州区工农镇           </w:t>
      </w:r>
      <w:r>
        <w:rPr>
          <w:rFonts w:hint="eastAsia" w:ascii="Times New Roman" w:eastAsia="宋体"/>
          <w:sz w:val="28"/>
          <w:u w:val="none"/>
          <w:lang w:val="en-US" w:eastAsia="zh-CN"/>
        </w:rPr>
        <w:t xml:space="preserve">    </w:t>
      </w:r>
    </w:p>
    <w:p>
      <w:pPr>
        <w:pStyle w:val="2"/>
        <w:ind w:left="0"/>
        <w:rPr>
          <w:rFonts w:ascii="Times New Roman"/>
          <w:sz w:val="17"/>
        </w:rPr>
      </w:pPr>
    </w:p>
    <w:p>
      <w:pPr>
        <w:tabs>
          <w:tab w:val="left" w:pos="3764"/>
          <w:tab w:val="left" w:pos="8788"/>
        </w:tabs>
        <w:spacing w:before="70"/>
        <w:ind w:right="0" w:firstLine="840" w:firstLineChars="300"/>
        <w:jc w:val="left"/>
        <w:rPr>
          <w:rFonts w:ascii="Times New Roman" w:eastAsia="Times New Roman"/>
          <w:sz w:val="28"/>
        </w:rPr>
      </w:pPr>
      <w:r>
        <w:rPr>
          <w:sz w:val="28"/>
        </w:rPr>
        <w:t>验 收 单</w:t>
      </w:r>
      <w:r>
        <w:rPr>
          <w:spacing w:val="40"/>
          <w:sz w:val="28"/>
        </w:rPr>
        <w:t xml:space="preserve"> </w:t>
      </w:r>
      <w:r>
        <w:rPr>
          <w:sz w:val="28"/>
        </w:rPr>
        <w:t>位</w:t>
      </w:r>
      <w:r>
        <w:rPr>
          <w:rFonts w:hint="eastAsia"/>
          <w:sz w:val="28"/>
          <w:lang w:val="en-US" w:eastAsia="zh-CN"/>
        </w:rPr>
        <w:t xml:space="preserve"> </w:t>
      </w:r>
      <w:r>
        <w:rPr>
          <w:rFonts w:hint="eastAsia" w:ascii="Times New Roman" w:eastAsia="宋体"/>
          <w:sz w:val="28"/>
          <w:u w:val="single"/>
          <w:lang w:val="en-US" w:eastAsia="zh-CN"/>
        </w:rPr>
        <w:t xml:space="preserve">    广元市城建投资集团有限公司       </w:t>
      </w:r>
      <w:r>
        <w:rPr>
          <w:rFonts w:hint="eastAsia" w:ascii="Times New Roman" w:eastAsia="宋体"/>
          <w:sz w:val="28"/>
          <w:u w:val="none"/>
          <w:lang w:val="en-US" w:eastAsia="zh-CN"/>
        </w:rPr>
        <w:t xml:space="preserve">    </w:t>
      </w:r>
      <w:r>
        <w:rPr>
          <w:rFonts w:hint="eastAsia" w:ascii="Times New Roman" w:eastAsia="宋体"/>
          <w:sz w:val="28"/>
          <w:u w:val="single"/>
          <w:lang w:val="en-US" w:eastAsia="zh-CN"/>
        </w:rPr>
        <w:t xml:space="preserve">      </w:t>
      </w:r>
    </w:p>
    <w:p>
      <w:pPr>
        <w:pStyle w:val="2"/>
        <w:ind w:left="0"/>
        <w:rPr>
          <w:rFonts w:ascii="Times New Roman"/>
          <w:sz w:val="20"/>
        </w:rPr>
      </w:pPr>
    </w:p>
    <w:p>
      <w:pPr>
        <w:pStyle w:val="2"/>
        <w:ind w:left="0"/>
        <w:rPr>
          <w:rFonts w:ascii="Times New Roman"/>
          <w:sz w:val="20"/>
        </w:rPr>
      </w:pPr>
    </w:p>
    <w:p>
      <w:pPr>
        <w:pStyle w:val="2"/>
        <w:ind w:left="0"/>
        <w:rPr>
          <w:rFonts w:ascii="Times New Roman"/>
          <w:sz w:val="20"/>
        </w:rPr>
      </w:pPr>
    </w:p>
    <w:p>
      <w:pPr>
        <w:tabs>
          <w:tab w:val="left" w:pos="556"/>
          <w:tab w:val="left" w:pos="1118"/>
          <w:tab w:val="left" w:pos="1680"/>
        </w:tabs>
        <w:spacing w:before="216"/>
        <w:ind w:left="0" w:right="15" w:firstLine="0"/>
        <w:jc w:val="center"/>
        <w:rPr>
          <w:sz w:val="28"/>
        </w:rPr>
      </w:pPr>
      <w:r>
        <w:rPr>
          <w:rFonts w:hint="eastAsia" w:ascii="Times New Roman" w:eastAsia="宋体"/>
          <w:w w:val="100"/>
          <w:sz w:val="28"/>
          <w:u w:val="none"/>
          <w:lang w:val="en-US" w:eastAsia="zh-CN"/>
        </w:rPr>
        <w:t>2019</w:t>
      </w:r>
      <w:r>
        <w:rPr>
          <w:sz w:val="28"/>
        </w:rPr>
        <w:t>年</w:t>
      </w:r>
      <w:r>
        <w:rPr>
          <w:rFonts w:hint="eastAsia"/>
          <w:sz w:val="28"/>
          <w:u w:val="none"/>
          <w:lang w:val="en-US" w:eastAsia="zh-CN"/>
        </w:rPr>
        <w:t>11</w:t>
      </w:r>
      <w:r>
        <w:rPr>
          <w:sz w:val="28"/>
        </w:rPr>
        <w:t>月</w:t>
      </w:r>
      <w:r>
        <w:rPr>
          <w:rFonts w:hint="eastAsia"/>
          <w:sz w:val="28"/>
          <w:u w:val="none"/>
          <w:lang w:val="en-US" w:eastAsia="zh-CN"/>
        </w:rPr>
        <w:t>09</w:t>
      </w:r>
      <w:r>
        <w:rPr>
          <w:sz w:val="28"/>
        </w:rPr>
        <w:t>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center"/>
        <w:textAlignment w:val="auto"/>
        <w:outlineLvl w:val="9"/>
        <w:rPr>
          <w:rFonts w:ascii="Times New Roman" w:hAnsi="Times New Roman" w:cs="Times New Roman"/>
          <w:bCs/>
          <w:sz w:val="30"/>
          <w:szCs w:val="30"/>
        </w:rPr>
      </w:pPr>
      <w:r>
        <w:rPr>
          <w:rFonts w:ascii="Times New Roman" w:hAnsi="Times New Roman" w:cs="Times New Roman"/>
          <w:bCs/>
          <w:sz w:val="30"/>
          <w:szCs w:val="30"/>
        </w:rPr>
        <w:br w:type="page"/>
      </w:r>
    </w:p>
    <w:p>
      <w:pPr>
        <w:spacing w:before="39"/>
        <w:ind w:right="0"/>
        <w:jc w:val="left"/>
        <w:rPr>
          <w:sz w:val="30"/>
        </w:rPr>
      </w:pPr>
      <w:r>
        <w:rPr>
          <w:sz w:val="30"/>
        </w:rPr>
        <w:t>一、生产建设项目水土保持设施验收基本情况表</w:t>
      </w:r>
    </w:p>
    <w:tbl>
      <w:tblPr>
        <w:tblStyle w:val="3"/>
        <w:tblW w:w="8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4"/>
        <w:gridCol w:w="3253"/>
        <w:gridCol w:w="1231"/>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项目名称</w:t>
            </w:r>
          </w:p>
        </w:tc>
        <w:tc>
          <w:tcPr>
            <w:tcW w:w="3253" w:type="dxa"/>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lang w:eastAsia="zh-CN"/>
              </w:rPr>
              <w:t>瓷窑铺至电子路道路建设工程</w:t>
            </w:r>
          </w:p>
        </w:tc>
        <w:tc>
          <w:tcPr>
            <w:tcW w:w="1231"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行业类别</w:t>
            </w:r>
          </w:p>
        </w:tc>
        <w:tc>
          <w:tcPr>
            <w:tcW w:w="1062" w:type="dxa"/>
            <w:vAlign w:val="center"/>
          </w:tcPr>
          <w:p>
            <w:pPr>
              <w:pStyle w:val="6"/>
              <w:autoSpaceDE w:val="0"/>
              <w:autoSpaceDN w:val="0"/>
              <w:spacing w:before="163" w:after="0" w:line="240" w:lineRule="auto"/>
              <w:ind w:left="229" w:right="101"/>
              <w:jc w:val="both"/>
              <w:rPr>
                <w:rFonts w:hint="eastAsia" w:eastAsia="宋体"/>
                <w:kern w:val="0"/>
                <w:sz w:val="24"/>
                <w:szCs w:val="22"/>
                <w:lang w:val="en-US" w:eastAsia="zh-CN"/>
              </w:rPr>
            </w:pPr>
            <w:r>
              <w:rPr>
                <w:rFonts w:hint="eastAsia"/>
                <w:kern w:val="0"/>
                <w:sz w:val="24"/>
                <w:szCs w:val="22"/>
                <w:lang w:val="en-US" w:eastAsia="zh-CN"/>
              </w:rPr>
              <w:t>01公路工程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主管部门</w:t>
            </w:r>
          </w:p>
          <w:p>
            <w:pPr>
              <w:pStyle w:val="6"/>
              <w:autoSpaceDE w:val="0"/>
              <w:autoSpaceDN w:val="0"/>
              <w:spacing w:before="163" w:after="0" w:line="240" w:lineRule="auto"/>
              <w:ind w:left="229" w:right="101"/>
              <w:jc w:val="center"/>
              <w:rPr>
                <w:kern w:val="0"/>
                <w:sz w:val="24"/>
                <w:szCs w:val="22"/>
              </w:rPr>
            </w:pPr>
            <w:r>
              <w:rPr>
                <w:kern w:val="0"/>
                <w:sz w:val="24"/>
                <w:szCs w:val="22"/>
              </w:rPr>
              <w:t>（或主要投资方）</w:t>
            </w:r>
          </w:p>
        </w:tc>
        <w:tc>
          <w:tcPr>
            <w:tcW w:w="3253" w:type="dxa"/>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lang w:eastAsia="zh-CN"/>
              </w:rPr>
              <w:t>广元市城建投资集团有限公司</w:t>
            </w:r>
          </w:p>
        </w:tc>
        <w:tc>
          <w:tcPr>
            <w:tcW w:w="1231"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项目性质</w:t>
            </w:r>
          </w:p>
        </w:tc>
        <w:tc>
          <w:tcPr>
            <w:tcW w:w="1062" w:type="dxa"/>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kern w:val="0"/>
                <w:sz w:val="24"/>
                <w:szCs w:val="22"/>
                <w:lang w:val="en-US" w:eastAsia="zh-CN"/>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水土保持方案批复机关、文号及时间</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lang w:eastAsia="zh-CN"/>
              </w:rPr>
              <w:t>广元市水务局</w:t>
            </w:r>
            <w:r>
              <w:rPr>
                <w:rFonts w:hint="eastAsia"/>
                <w:kern w:val="0"/>
                <w:sz w:val="24"/>
                <w:szCs w:val="22"/>
              </w:rPr>
              <w:t>关于《</w:t>
            </w:r>
            <w:r>
              <w:rPr>
                <w:rFonts w:hint="eastAsia"/>
                <w:kern w:val="0"/>
                <w:sz w:val="24"/>
                <w:szCs w:val="22"/>
                <w:lang w:eastAsia="zh-CN"/>
              </w:rPr>
              <w:t>瓷窑铺至电子路道路建设工程</w:t>
            </w:r>
            <w:r>
              <w:rPr>
                <w:rFonts w:hint="eastAsia"/>
                <w:kern w:val="0"/>
                <w:sz w:val="24"/>
                <w:szCs w:val="22"/>
              </w:rPr>
              <w:t>水土保持方案的批复》</w:t>
            </w:r>
            <w:r>
              <w:rPr>
                <w:rFonts w:hint="eastAsia"/>
                <w:kern w:val="0"/>
                <w:sz w:val="24"/>
                <w:szCs w:val="22"/>
                <w:lang w:val="en-US" w:eastAsia="zh-CN"/>
              </w:rPr>
              <w:t>广</w:t>
            </w:r>
            <w:r>
              <w:rPr>
                <w:rFonts w:hint="eastAsia"/>
                <w:kern w:val="0"/>
                <w:sz w:val="24"/>
                <w:szCs w:val="22"/>
              </w:rPr>
              <w:t>水</w:t>
            </w:r>
            <w:r>
              <w:rPr>
                <w:rFonts w:hint="eastAsia"/>
                <w:kern w:val="0"/>
                <w:sz w:val="24"/>
                <w:szCs w:val="22"/>
                <w:lang w:val="en-US" w:eastAsia="zh-CN"/>
              </w:rPr>
              <w:t>函</w:t>
            </w:r>
            <w:r>
              <w:rPr>
                <w:rFonts w:hint="eastAsia"/>
                <w:kern w:val="0"/>
                <w:sz w:val="24"/>
                <w:szCs w:val="22"/>
              </w:rPr>
              <w:t>﹝201</w:t>
            </w:r>
            <w:r>
              <w:rPr>
                <w:rFonts w:hint="eastAsia"/>
                <w:kern w:val="0"/>
                <w:sz w:val="24"/>
                <w:szCs w:val="22"/>
                <w:lang w:val="en-US" w:eastAsia="zh-CN"/>
              </w:rPr>
              <w:t>2</w:t>
            </w:r>
            <w:r>
              <w:rPr>
                <w:rFonts w:hint="eastAsia"/>
                <w:kern w:val="0"/>
                <w:sz w:val="24"/>
                <w:szCs w:val="22"/>
              </w:rPr>
              <w:t>﹞</w:t>
            </w:r>
            <w:r>
              <w:rPr>
                <w:rFonts w:hint="eastAsia"/>
                <w:kern w:val="0"/>
                <w:sz w:val="24"/>
                <w:szCs w:val="22"/>
                <w:lang w:val="en-US" w:eastAsia="zh-CN"/>
              </w:rPr>
              <w:t>151</w:t>
            </w:r>
            <w:r>
              <w:rPr>
                <w:rFonts w:hint="eastAsia"/>
                <w:kern w:val="0"/>
                <w:sz w:val="24"/>
                <w:szCs w:val="22"/>
              </w:rPr>
              <w:t>号文件,201</w:t>
            </w:r>
            <w:r>
              <w:rPr>
                <w:rFonts w:hint="eastAsia"/>
                <w:kern w:val="0"/>
                <w:sz w:val="24"/>
                <w:szCs w:val="22"/>
                <w:lang w:val="en-US" w:eastAsia="zh-CN"/>
              </w:rPr>
              <w:t>2</w:t>
            </w:r>
            <w:r>
              <w:rPr>
                <w:rFonts w:hint="eastAsia"/>
                <w:kern w:val="0"/>
                <w:sz w:val="24"/>
                <w:szCs w:val="22"/>
              </w:rPr>
              <w:t>年</w:t>
            </w:r>
            <w:r>
              <w:rPr>
                <w:rFonts w:hint="eastAsia"/>
                <w:kern w:val="0"/>
                <w:sz w:val="24"/>
                <w:szCs w:val="22"/>
                <w:lang w:val="en-US" w:eastAsia="zh-CN"/>
              </w:rPr>
              <w:t>12</w:t>
            </w:r>
            <w:r>
              <w:rPr>
                <w:rFonts w:hint="eastAsia"/>
                <w:kern w:val="0"/>
                <w:sz w:val="24"/>
                <w:szCs w:val="22"/>
              </w:rPr>
              <w:t>月</w:t>
            </w:r>
            <w:r>
              <w:rPr>
                <w:rFonts w:hint="eastAsia"/>
                <w:kern w:val="0"/>
                <w:sz w:val="24"/>
                <w:szCs w:val="22"/>
                <w:lang w:val="en-US" w:eastAsia="zh-CN"/>
              </w:rPr>
              <w:t>29</w:t>
            </w:r>
            <w:r>
              <w:rPr>
                <w:rFonts w:hint="eastAsia"/>
                <w:kern w:val="0"/>
                <w:sz w:val="24"/>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水土保持方案变更批复机关、文号及时间</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kern w:val="0"/>
                <w:sz w:val="24"/>
                <w:szCs w:val="2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水土保持初步设计批复机关、文号及时间</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kern w:val="0"/>
                <w:sz w:val="24"/>
                <w:szCs w:val="2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项目建设起止时间</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rPr>
              <w:t>201</w:t>
            </w:r>
            <w:r>
              <w:rPr>
                <w:rFonts w:hint="eastAsia"/>
                <w:kern w:val="0"/>
                <w:sz w:val="24"/>
                <w:szCs w:val="22"/>
                <w:lang w:val="en-US" w:eastAsia="zh-CN"/>
              </w:rPr>
              <w:t>3</w:t>
            </w:r>
            <w:r>
              <w:rPr>
                <w:rFonts w:hint="eastAsia"/>
                <w:kern w:val="0"/>
                <w:sz w:val="24"/>
                <w:szCs w:val="22"/>
              </w:rPr>
              <w:t>年</w:t>
            </w:r>
            <w:r>
              <w:rPr>
                <w:rFonts w:hint="eastAsia"/>
                <w:kern w:val="0"/>
                <w:sz w:val="24"/>
                <w:szCs w:val="22"/>
                <w:lang w:val="en-US" w:eastAsia="zh-CN"/>
              </w:rPr>
              <w:t>1</w:t>
            </w:r>
            <w:r>
              <w:rPr>
                <w:rFonts w:hint="eastAsia"/>
                <w:kern w:val="0"/>
                <w:sz w:val="24"/>
                <w:szCs w:val="22"/>
              </w:rPr>
              <w:t>月</w:t>
            </w:r>
            <w:r>
              <w:rPr>
                <w:rFonts w:hint="eastAsia"/>
                <w:kern w:val="0"/>
                <w:sz w:val="24"/>
                <w:szCs w:val="22"/>
                <w:lang w:eastAsia="zh-CN"/>
              </w:rPr>
              <w:t>—</w:t>
            </w:r>
            <w:r>
              <w:rPr>
                <w:rFonts w:hint="eastAsia"/>
                <w:kern w:val="0"/>
                <w:sz w:val="24"/>
                <w:szCs w:val="22"/>
              </w:rPr>
              <w:t>201</w:t>
            </w:r>
            <w:r>
              <w:rPr>
                <w:rFonts w:hint="eastAsia"/>
                <w:kern w:val="0"/>
                <w:sz w:val="24"/>
                <w:szCs w:val="22"/>
                <w:lang w:val="en-US" w:eastAsia="zh-CN"/>
              </w:rPr>
              <w:t>4</w:t>
            </w:r>
            <w:r>
              <w:rPr>
                <w:rFonts w:hint="eastAsia"/>
                <w:kern w:val="0"/>
                <w:sz w:val="24"/>
                <w:szCs w:val="22"/>
              </w:rPr>
              <w:t>年</w:t>
            </w:r>
            <w:r>
              <w:rPr>
                <w:rFonts w:hint="eastAsia"/>
                <w:kern w:val="0"/>
                <w:sz w:val="24"/>
                <w:szCs w:val="22"/>
                <w:lang w:val="en-US" w:eastAsia="zh-CN"/>
              </w:rPr>
              <w:t>12</w:t>
            </w:r>
            <w:r>
              <w:rPr>
                <w:rFonts w:hint="eastAsia"/>
                <w:kern w:val="0"/>
                <w:sz w:val="24"/>
                <w:szCs w:val="2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水土保持方案编制单位</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rPr>
              <w:t>四川涪圣工程设计咨询有限公司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水土保持初步设计单位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val="en-US" w:eastAsia="zh-CN"/>
              </w:rPr>
            </w:pPr>
            <w:r>
              <w:rPr>
                <w:rFonts w:hint="eastAsia"/>
                <w:sz w:val="24"/>
              </w:rPr>
              <w:t>四川省交通运输厅公路规划勘察设计院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水土保持监测单位</w:t>
            </w:r>
          </w:p>
        </w:tc>
        <w:tc>
          <w:tcPr>
            <w:tcW w:w="5546" w:type="dxa"/>
            <w:gridSpan w:val="3"/>
            <w:vAlign w:val="center"/>
          </w:tcPr>
          <w:p>
            <w:pPr>
              <w:pStyle w:val="6"/>
              <w:autoSpaceDE w:val="0"/>
              <w:autoSpaceDN w:val="0"/>
              <w:spacing w:before="163" w:after="0" w:line="240" w:lineRule="auto"/>
              <w:ind w:left="229" w:right="101"/>
              <w:jc w:val="center"/>
              <w:rPr>
                <w:kern w:val="0"/>
                <w:sz w:val="24"/>
                <w:szCs w:val="22"/>
              </w:rPr>
            </w:pPr>
            <w:r>
              <w:rPr>
                <w:rFonts w:hint="eastAsia"/>
                <w:kern w:val="0"/>
                <w:sz w:val="24"/>
                <w:szCs w:val="22"/>
                <w:lang w:eastAsia="zh-CN"/>
              </w:rPr>
              <w:t>四川涪圣工程设计咨询有限公司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水土保持施工单位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rPr>
              <w:t>广元市城市建设综合开发公司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水土保持监理单位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rPr>
              <w:t>中国华西工程设计建设有限公司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2774" w:type="dxa"/>
            <w:vAlign w:val="center"/>
          </w:tcPr>
          <w:p>
            <w:pPr>
              <w:pStyle w:val="6"/>
              <w:autoSpaceDE w:val="0"/>
              <w:autoSpaceDN w:val="0"/>
              <w:spacing w:before="163" w:after="0" w:line="240" w:lineRule="auto"/>
              <w:ind w:left="229" w:right="101"/>
              <w:jc w:val="center"/>
              <w:rPr>
                <w:kern w:val="0"/>
                <w:sz w:val="24"/>
                <w:szCs w:val="22"/>
              </w:rPr>
            </w:pPr>
            <w:r>
              <w:rPr>
                <w:kern w:val="0"/>
                <w:sz w:val="24"/>
                <w:szCs w:val="22"/>
              </w:rPr>
              <w:t>水土保持设施验收报告编制单位</w:t>
            </w:r>
          </w:p>
        </w:tc>
        <w:tc>
          <w:tcPr>
            <w:tcW w:w="5546" w:type="dxa"/>
            <w:gridSpan w:val="3"/>
            <w:vAlign w:val="center"/>
          </w:tcPr>
          <w:p>
            <w:pPr>
              <w:pStyle w:val="6"/>
              <w:autoSpaceDE w:val="0"/>
              <w:autoSpaceDN w:val="0"/>
              <w:spacing w:before="163" w:after="0" w:line="240" w:lineRule="auto"/>
              <w:ind w:left="229" w:right="101"/>
              <w:jc w:val="center"/>
              <w:rPr>
                <w:rFonts w:hint="eastAsia" w:eastAsia="宋体"/>
                <w:kern w:val="0"/>
                <w:sz w:val="24"/>
                <w:szCs w:val="22"/>
                <w:lang w:eastAsia="zh-CN"/>
              </w:rPr>
            </w:pPr>
            <w:r>
              <w:rPr>
                <w:rFonts w:hint="eastAsia"/>
                <w:kern w:val="0"/>
                <w:sz w:val="24"/>
                <w:szCs w:val="22"/>
              </w:rPr>
              <w:t>四川润蜀工程勘察设计有限责任公司</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jc w:val="center"/>
        <w:textAlignment w:val="auto"/>
        <w:outlineLvl w:val="9"/>
        <w:rPr>
          <w:rFonts w:ascii="Times New Roman" w:hAnsi="Times New Roman" w:cs="Times New Roman"/>
          <w:bCs/>
          <w:sz w:val="30"/>
          <w:szCs w:val="30"/>
        </w:rPr>
      </w:pPr>
    </w:p>
    <w:p>
      <w:pPr>
        <w:spacing w:before="39"/>
        <w:ind w:right="0"/>
        <w:jc w:val="left"/>
        <w:rPr>
          <w:sz w:val="30"/>
        </w:rPr>
      </w:pPr>
      <w:r>
        <w:rPr>
          <w:sz w:val="30"/>
        </w:rPr>
        <w:t>二、验收意见</w:t>
      </w:r>
    </w:p>
    <w:p>
      <w:pPr>
        <w:pStyle w:val="2"/>
        <w:ind w:left="0"/>
        <w:rPr>
          <w:sz w:val="23"/>
        </w:rPr>
      </w:pPr>
      <w:r>
        <mc:AlternateContent>
          <mc:Choice Requires="wpg">
            <w:drawing>
              <wp:anchor distT="0" distB="0" distL="114300" distR="114300" simplePos="0" relativeHeight="503298048" behindDoc="1" locked="0" layoutInCell="1" allowOverlap="1">
                <wp:simplePos x="0" y="0"/>
                <wp:positionH relativeFrom="page">
                  <wp:posOffset>978535</wp:posOffset>
                </wp:positionH>
                <wp:positionV relativeFrom="page">
                  <wp:posOffset>1310640</wp:posOffset>
                </wp:positionV>
                <wp:extent cx="5534025" cy="8472170"/>
                <wp:effectExtent l="1905" t="1270" r="11430" b="15240"/>
                <wp:wrapNone/>
                <wp:docPr id="7" name="组合 2"/>
                <wp:cNvGraphicFramePr/>
                <a:graphic xmlns:a="http://schemas.openxmlformats.org/drawingml/2006/main">
                  <a:graphicData uri="http://schemas.microsoft.com/office/word/2010/wordprocessingGroup">
                    <wpg:wgp>
                      <wpg:cNvGrpSpPr/>
                      <wpg:grpSpPr>
                        <a:xfrm>
                          <a:off x="0" y="0"/>
                          <a:ext cx="5534025" cy="8472170"/>
                          <a:chOff x="1529" y="2064"/>
                          <a:chExt cx="8851" cy="12782"/>
                        </a:xfrm>
                      </wpg:grpSpPr>
                      <wps:wsp>
                        <wps:cNvPr id="1" name="矩形 3"/>
                        <wps:cNvSpPr/>
                        <wps:spPr>
                          <a:xfrm>
                            <a:off x="1529" y="2064"/>
                            <a:ext cx="10" cy="10"/>
                          </a:xfrm>
                          <a:prstGeom prst="rect">
                            <a:avLst/>
                          </a:prstGeom>
                          <a:solidFill>
                            <a:srgbClr val="000000"/>
                          </a:solidFill>
                          <a:ln w="9525">
                            <a:noFill/>
                          </a:ln>
                        </wps:spPr>
                        <wps:bodyPr upright="1"/>
                      </wps:wsp>
                      <wps:wsp>
                        <wps:cNvPr id="2"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3" name="矩形 5"/>
                        <wps:cNvSpPr/>
                        <wps:spPr>
                          <a:xfrm>
                            <a:off x="10370" y="2064"/>
                            <a:ext cx="10" cy="10"/>
                          </a:xfrm>
                          <a:prstGeom prst="rect">
                            <a:avLst/>
                          </a:prstGeom>
                          <a:solidFill>
                            <a:srgbClr val="000000"/>
                          </a:solidFill>
                          <a:ln w="9525">
                            <a:noFill/>
                          </a:ln>
                        </wps:spPr>
                        <wps:bodyPr upright="1"/>
                      </wps:wsp>
                      <wps:wsp>
                        <wps:cNvPr id="4"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5"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6"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7.05pt;margin-top:103.2pt;height:667.1pt;width:435.75pt;mso-position-horizontal-relative:page;mso-position-vertical-relative:page;z-index:-18432;mso-width-relative:page;mso-height-relative:page;" coordorigin="1529,2064" coordsize="8851,12782" o:gfxdata="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DPX1pJ2gAAAA0BAAAPAAAAAAAAAAEAIAAAACIAAABkcnMvZG93&#10;bnJldi54bWxQSwECFAAUAAAACACHTuJAW5X1ChsDAADVDQAADgAAAAAAAAABACAAAAApAQAAZHJz&#10;L2Uyb0RvYy54bWxQSwUGAAAAAAYABgBZAQAAtgYAAAAA&#10;">
                <o:lock v:ext="edit" aspectratio="f"/>
                <v:rect id="矩形 3" o:spid="_x0000_s1026" o:spt="1" style="position:absolute;left:1529;top:2064;height:10;width:10;"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4/BvhrsAAADa&#10;AAAADwAAAGRycy9kb3ducmV2LnhtbEWPS4vCQBCE74L/YWjBm07iixAdBYUFwZPPc5vpTcJmekJm&#10;Nib763cWFjwWVfUVtdl1phItNa60rCCeRiCIM6tLzhXcrh+TBITzyBory6SgJwe77XCwwVTbF5+p&#10;vfhcBAi7FBUU3teplC4ryKCb2po4eJ+2MeiDbHKpG3wFuKnkLIpW0mDJYaHAmg4FZV+Xb6Ng0Xb9&#10;6edA+/nzGPfJMr/P3aNSajyKozUIT51/h//bR61gCX9Xwg2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BvhrsAAADa&#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（一）项目概况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1、地理位置</w:t>
      </w:r>
    </w:p>
    <w:p>
      <w:pPr>
        <w:spacing w:line="360" w:lineRule="auto"/>
        <w:ind w:left="0" w:leftChars="0" w:firstLine="480" w:firstLineChars="200"/>
        <w:jc w:val="left"/>
        <w:outlineLvl w:val="9"/>
        <w:rPr>
          <w:rFonts w:hint="eastAsia"/>
          <w:sz w:val="24"/>
        </w:rPr>
      </w:pPr>
      <w:r>
        <w:rPr>
          <w:rFonts w:hint="eastAsia" w:asciiTheme="minorHAnsi" w:hAnsiTheme="minorHAnsi"/>
          <w:sz w:val="24"/>
        </w:rPr>
        <w:t>道路起点位于广元市利州区工农镇的瓷窑铺北，接国道G108线公路，终点为广元市利州区国营长胜机器厂内乔家沟，对接拟建北二环（K0+890）规划路口。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2、</w:t>
      </w:r>
      <w:r>
        <w:rPr>
          <w:sz w:val="24"/>
          <w:szCs w:val="24"/>
        </w:rPr>
        <w:t>主要技术指标</w:t>
      </w:r>
    </w:p>
    <w:p>
      <w:pPr>
        <w:spacing w:line="360" w:lineRule="auto"/>
        <w:ind w:firstLine="480" w:firstLineChars="200"/>
        <w:jc w:val="left"/>
        <w:outlineLvl w:val="9"/>
        <w:rPr>
          <w:rFonts w:hint="eastAsia" w:asciiTheme="minorHAnsi" w:hAnsiTheme="minorHAnsi" w:cstheme="minorBidi"/>
          <w:color w:val="auto"/>
          <w:sz w:val="24"/>
        </w:rPr>
      </w:pPr>
      <w:r>
        <w:rPr>
          <w:rFonts w:hint="eastAsia" w:asciiTheme="minorHAnsi" w:hAnsiTheme="minorHAnsi" w:cstheme="minorBidi"/>
          <w:color w:val="auto"/>
          <w:sz w:val="24"/>
        </w:rPr>
        <w:t>项目名称：</w:t>
      </w:r>
      <w:r>
        <w:rPr>
          <w:rFonts w:hint="eastAsia" w:asciiTheme="minorHAnsi" w:hAnsiTheme="minorHAnsi" w:cstheme="minorBidi"/>
          <w:color w:val="auto"/>
          <w:sz w:val="24"/>
          <w:szCs w:val="24"/>
          <w:lang w:eastAsia="zh-CN"/>
        </w:rPr>
        <w:t>瓷窑铺至电子路道路建设工程</w:t>
      </w:r>
      <w:r>
        <w:rPr>
          <w:rFonts w:hint="eastAsia" w:asciiTheme="minorHAnsi" w:hAnsiTheme="minorHAnsi" w:cstheme="minorBidi"/>
          <w:color w:val="auto"/>
          <w:sz w:val="24"/>
        </w:rPr>
        <w:t>；</w:t>
      </w:r>
    </w:p>
    <w:p>
      <w:pPr>
        <w:spacing w:line="360" w:lineRule="auto"/>
        <w:ind w:firstLine="480" w:firstLineChars="200"/>
        <w:jc w:val="left"/>
        <w:outlineLvl w:val="9"/>
        <w:rPr>
          <w:rFonts w:hint="eastAsia" w:asciiTheme="minorHAnsi" w:hAnsiTheme="minorHAnsi" w:cstheme="minorBidi"/>
          <w:color w:val="auto"/>
          <w:sz w:val="24"/>
        </w:rPr>
      </w:pPr>
      <w:r>
        <w:rPr>
          <w:rFonts w:hint="eastAsia" w:asciiTheme="minorHAnsi" w:hAnsiTheme="minorHAnsi" w:cstheme="minorBidi"/>
          <w:color w:val="auto"/>
          <w:sz w:val="24"/>
        </w:rPr>
        <w:t>建设单位：</w:t>
      </w:r>
      <w:r>
        <w:rPr>
          <w:rFonts w:hint="eastAsia" w:cstheme="minorBidi"/>
          <w:color w:val="auto"/>
          <w:sz w:val="24"/>
          <w:lang w:eastAsia="zh-CN"/>
        </w:rPr>
        <w:t>广元市城建投资集团有限公司</w:t>
      </w:r>
      <w:r>
        <w:rPr>
          <w:rFonts w:hint="eastAsia" w:asciiTheme="minorHAnsi" w:hAnsiTheme="minorHAnsi" w:cstheme="minorBidi"/>
          <w:color w:val="auto"/>
          <w:sz w:val="24"/>
        </w:rPr>
        <w:t>；</w:t>
      </w:r>
    </w:p>
    <w:p>
      <w:pPr>
        <w:spacing w:line="360" w:lineRule="auto"/>
        <w:ind w:firstLine="480" w:firstLineChars="200"/>
        <w:jc w:val="left"/>
        <w:outlineLvl w:val="9"/>
        <w:rPr>
          <w:rFonts w:hint="eastAsia" w:asciiTheme="minorHAnsi" w:hAnsiTheme="minorHAnsi" w:cstheme="minorBidi"/>
          <w:color w:val="auto"/>
          <w:sz w:val="24"/>
        </w:rPr>
      </w:pPr>
      <w:r>
        <w:rPr>
          <w:rFonts w:hint="eastAsia" w:asciiTheme="minorHAnsi" w:hAnsiTheme="minorHAnsi" w:cstheme="minorBidi"/>
          <w:color w:val="auto"/>
          <w:sz w:val="24"/>
        </w:rPr>
        <w:t>建设性质：新建工程；</w:t>
      </w:r>
    </w:p>
    <w:p>
      <w:pPr>
        <w:spacing w:line="360" w:lineRule="auto"/>
        <w:ind w:firstLine="480" w:firstLineChars="200"/>
        <w:jc w:val="left"/>
        <w:outlineLvl w:val="9"/>
        <w:rPr>
          <w:rFonts w:hint="eastAsia" w:asciiTheme="minorHAnsi" w:hAnsiTheme="minorHAnsi" w:cstheme="minorBidi"/>
          <w:color w:val="auto"/>
          <w:sz w:val="24"/>
        </w:rPr>
      </w:pPr>
      <w:r>
        <w:rPr>
          <w:rFonts w:hint="eastAsia" w:asciiTheme="minorHAnsi" w:hAnsiTheme="minorHAnsi" w:cstheme="minorBidi"/>
          <w:color w:val="auto"/>
          <w:sz w:val="24"/>
        </w:rPr>
        <w:t>等级与规模：</w:t>
      </w:r>
      <w:r>
        <w:rPr>
          <w:rFonts w:hint="eastAsia"/>
          <w:sz w:val="24"/>
          <w:szCs w:val="24"/>
        </w:rPr>
        <w:t>本项目路线北起于广元市利州区工农镇（K0+343.963）接国道G108线公路，经水池坪、姚家岩，南止于广元市利州区乔家沟（K4+175.050）接北二环（K0+890），路线全长3.831km，为一级公路，设计时速为60km/h，道路标准断面宽23m，沥青混凝土路面。</w:t>
      </w:r>
    </w:p>
    <w:p>
      <w:pPr>
        <w:spacing w:line="360" w:lineRule="auto"/>
        <w:ind w:firstLine="480" w:firstLineChars="200"/>
        <w:jc w:val="left"/>
        <w:outlineLvl w:val="9"/>
        <w:rPr>
          <w:rFonts w:hint="eastAsia" w:asciiTheme="minorHAnsi" w:hAnsiTheme="minorHAnsi" w:cstheme="minorBidi"/>
          <w:color w:val="auto"/>
          <w:sz w:val="24"/>
        </w:rPr>
      </w:pPr>
      <w:r>
        <w:rPr>
          <w:rFonts w:hint="eastAsia" w:asciiTheme="minorHAnsi" w:hAnsiTheme="minorHAnsi" w:cstheme="minorBidi"/>
          <w:color w:val="auto"/>
          <w:sz w:val="24"/>
        </w:rPr>
        <w:t xml:space="preserve">所属流域：长江水系嘉陵江流域； </w:t>
      </w:r>
    </w:p>
    <w:p>
      <w:pPr>
        <w:spacing w:line="360" w:lineRule="auto"/>
        <w:ind w:firstLine="480" w:firstLineChars="200"/>
        <w:jc w:val="left"/>
        <w:outlineLvl w:val="9"/>
        <w:rPr>
          <w:rFonts w:hint="eastAsia" w:asciiTheme="minorHAnsi" w:hAnsiTheme="minorHAnsi" w:cstheme="minorBidi"/>
          <w:color w:val="auto"/>
          <w:sz w:val="24"/>
        </w:rPr>
      </w:pPr>
      <w:r>
        <w:rPr>
          <w:rFonts w:hint="eastAsia" w:asciiTheme="minorHAnsi" w:hAnsiTheme="minorHAnsi"/>
          <w:sz w:val="24"/>
        </w:rPr>
        <w:t>总投资</w:t>
      </w:r>
      <w:r>
        <w:rPr>
          <w:rFonts w:hint="eastAsia" w:asciiTheme="minorHAnsi" w:hAnsiTheme="minorHAnsi"/>
          <w:sz w:val="24"/>
          <w:lang w:eastAsia="zh-CN"/>
        </w:rPr>
        <w:t>：</w:t>
      </w:r>
      <w:r>
        <w:rPr>
          <w:rFonts w:hint="eastAsia" w:asciiTheme="minorHAnsi" w:hAnsiTheme="minorHAnsi"/>
          <w:sz w:val="24"/>
        </w:rPr>
        <w:t>18000万元，其中土建投资为17200万元。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3、</w:t>
      </w:r>
      <w:r>
        <w:rPr>
          <w:rFonts w:hint="eastAsia"/>
          <w:sz w:val="24"/>
          <w:szCs w:val="24"/>
        </w:rPr>
        <w:t>施工工期</w:t>
      </w:r>
    </w:p>
    <w:p>
      <w:pPr>
        <w:spacing w:line="360" w:lineRule="auto"/>
        <w:ind w:firstLine="480" w:firstLineChars="200"/>
        <w:jc w:val="left"/>
        <w:outlineLvl w:val="9"/>
        <w:rPr>
          <w:rFonts w:hint="eastAsia"/>
          <w:sz w:val="24"/>
          <w:lang w:val="en-US" w:eastAsia="zh-CN"/>
        </w:rPr>
      </w:pPr>
      <w:r>
        <w:rPr>
          <w:rFonts w:hint="eastAsia"/>
          <w:sz w:val="24"/>
        </w:rPr>
        <w:t xml:space="preserve">项目计划建设工期12个月，2012年12月-2013年11月；实际建设工期为 </w:t>
      </w:r>
      <w:r>
        <w:rPr>
          <w:rFonts w:hint="eastAsia"/>
          <w:sz w:val="24"/>
          <w:lang w:eastAsia="zh-CN"/>
        </w:rPr>
        <w:t>2013年1月</w:t>
      </w:r>
      <w:r>
        <w:rPr>
          <w:rFonts w:hint="eastAsia"/>
          <w:sz w:val="24"/>
        </w:rPr>
        <w:t>开工建设，</w:t>
      </w:r>
      <w:r>
        <w:rPr>
          <w:rFonts w:hint="eastAsia"/>
          <w:sz w:val="24"/>
          <w:lang w:eastAsia="zh-CN"/>
        </w:rPr>
        <w:t>2014年12月</w:t>
      </w:r>
      <w:r>
        <w:rPr>
          <w:rFonts w:hint="eastAsia"/>
          <w:sz w:val="24"/>
        </w:rPr>
        <w:t>竣工，总工期为</w:t>
      </w:r>
      <w:r>
        <w:rPr>
          <w:rFonts w:hint="eastAsia"/>
          <w:sz w:val="24"/>
          <w:lang w:val="en-US" w:eastAsia="zh-CN"/>
        </w:rPr>
        <w:t>24</w:t>
      </w:r>
      <w:r>
        <w:rPr>
          <w:rFonts w:hint="eastAsia"/>
          <w:sz w:val="24"/>
        </w:rPr>
        <w:t>个月</w:t>
      </w:r>
      <w:r>
        <w:rPr>
          <w:rFonts w:hint="eastAsia"/>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（二）水土保持方案批复情况（含变更）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rFonts w:hint="eastAsia"/>
          <w:sz w:val="24"/>
          <w:szCs w:val="24"/>
        </w:rPr>
        <w:t>201</w:t>
      </w:r>
      <w:r>
        <w:rPr>
          <w:rFonts w:hint="eastAsia"/>
          <w:sz w:val="24"/>
          <w:szCs w:val="24"/>
          <w:lang w:val="en-US" w:eastAsia="zh-CN"/>
        </w:rPr>
        <w:t>2</w:t>
      </w:r>
      <w:r>
        <w:rPr>
          <w:rFonts w:hint="eastAsia"/>
          <w:sz w:val="24"/>
          <w:szCs w:val="24"/>
        </w:rPr>
        <w:t>年</w:t>
      </w:r>
      <w:r>
        <w:rPr>
          <w:rFonts w:hint="eastAsia"/>
          <w:sz w:val="24"/>
          <w:szCs w:val="24"/>
          <w:lang w:val="en-US" w:eastAsia="zh-CN"/>
        </w:rPr>
        <w:t>10</w:t>
      </w:r>
      <w:r>
        <w:rPr>
          <w:rFonts w:hint="eastAsia"/>
          <w:sz w:val="24"/>
          <w:szCs w:val="24"/>
        </w:rPr>
        <w:t>月四川涪圣工程设计咨询有限公司接受</w:t>
      </w:r>
      <w:r>
        <w:rPr>
          <w:rFonts w:hint="eastAsia"/>
          <w:sz w:val="24"/>
          <w:szCs w:val="24"/>
          <w:lang w:eastAsia="zh-CN"/>
        </w:rPr>
        <w:t>广元市城建投资集团有限公司</w:t>
      </w:r>
      <w:r>
        <w:rPr>
          <w:rFonts w:hint="eastAsia"/>
          <w:sz w:val="24"/>
          <w:szCs w:val="24"/>
        </w:rPr>
        <w:t>的委托，承担本工程的水土保持方案编制工作。随即，四川涪圣工程设计咨询有限公司组织有关专业人员到现场进行了踏勘及资料收集工作，于201</w:t>
      </w:r>
      <w:r>
        <w:rPr>
          <w:rFonts w:hint="eastAsia"/>
          <w:sz w:val="24"/>
          <w:szCs w:val="24"/>
          <w:lang w:val="en-US" w:eastAsia="zh-CN"/>
        </w:rPr>
        <w:t>2</w:t>
      </w:r>
      <w:r>
        <w:rPr>
          <w:rFonts w:hint="eastAsia"/>
          <w:sz w:val="24"/>
          <w:szCs w:val="24"/>
        </w:rPr>
        <w:t>年</w:t>
      </w:r>
      <w:r>
        <w:rPr>
          <w:rFonts w:hint="eastAsia"/>
          <w:sz w:val="24"/>
          <w:szCs w:val="24"/>
          <w:lang w:val="en-US" w:eastAsia="zh-CN"/>
        </w:rPr>
        <w:t>11</w:t>
      </w:r>
      <w:r>
        <w:rPr>
          <w:rFonts w:hint="eastAsia"/>
          <w:sz w:val="24"/>
          <w:szCs w:val="24"/>
        </w:rPr>
        <w:t>月编制完成《</w:t>
      </w:r>
      <w:r>
        <w:rPr>
          <w:rFonts w:hint="eastAsia"/>
          <w:sz w:val="24"/>
          <w:szCs w:val="24"/>
          <w:lang w:eastAsia="zh-CN"/>
        </w:rPr>
        <w:t>瓷窑铺至电子路道路建设工程</w:t>
      </w:r>
      <w:r>
        <w:rPr>
          <w:rFonts w:hint="eastAsia"/>
          <w:sz w:val="24"/>
          <w:szCs w:val="24"/>
        </w:rPr>
        <w:t>水土保持方案</w:t>
      </w:r>
      <w:r>
        <w:rPr>
          <w:rFonts w:hint="eastAsia"/>
          <w:sz w:val="24"/>
          <w:szCs w:val="24"/>
          <w:lang w:eastAsia="zh-CN"/>
        </w:rPr>
        <w:t>报告书</w:t>
      </w:r>
      <w:r>
        <w:rPr>
          <w:rFonts w:hint="eastAsia"/>
          <w:sz w:val="24"/>
          <w:szCs w:val="24"/>
        </w:rPr>
        <w:t>》（送审稿）。该</w:t>
      </w:r>
      <w:r>
        <w:rPr>
          <w:rFonts w:hint="eastAsia"/>
          <w:sz w:val="24"/>
          <w:szCs w:val="24"/>
          <w:lang w:eastAsia="zh-CN"/>
        </w:rPr>
        <w:t>报告书</w:t>
      </w:r>
      <w:r>
        <w:rPr>
          <w:rFonts w:hint="eastAsia"/>
          <w:sz w:val="24"/>
          <w:szCs w:val="24"/>
        </w:rPr>
        <w:t>于201</w:t>
      </w:r>
      <w:r>
        <w:rPr>
          <w:rFonts w:hint="eastAsia"/>
          <w:sz w:val="24"/>
          <w:szCs w:val="24"/>
          <w:lang w:val="en-US" w:eastAsia="zh-CN"/>
        </w:rPr>
        <w:t>2</w:t>
      </w:r>
      <w:r>
        <w:rPr>
          <w:rFonts w:hint="eastAsia"/>
          <w:sz w:val="24"/>
          <w:szCs w:val="24"/>
        </w:rPr>
        <w:t>年</w:t>
      </w:r>
      <w:r>
        <w:rPr>
          <w:rFonts w:hint="eastAsia"/>
          <w:sz w:val="24"/>
          <w:szCs w:val="24"/>
          <w:lang w:val="en-US" w:eastAsia="zh-CN"/>
        </w:rPr>
        <w:t>11</w:t>
      </w:r>
      <w:r>
        <w:rPr>
          <w:rFonts w:hint="eastAsia"/>
          <w:sz w:val="24"/>
          <w:szCs w:val="24"/>
        </w:rPr>
        <w:t>月</w:t>
      </w:r>
      <w:r>
        <w:rPr>
          <w:rFonts w:hint="eastAsia"/>
          <w:sz w:val="24"/>
          <w:szCs w:val="24"/>
          <w:lang w:val="en-US" w:eastAsia="zh-CN"/>
        </w:rPr>
        <w:t>27</w:t>
      </w:r>
      <w:r>
        <w:rPr>
          <w:rFonts w:hint="eastAsia"/>
          <w:sz w:val="24"/>
          <w:szCs w:val="24"/>
        </w:rPr>
        <w:t>日</w:t>
      </w:r>
      <w:r>
        <w:rPr>
          <w:rFonts w:hint="default" w:ascii="Times New Roman" w:hAnsi="Times New Roman" w:cs="Times New Roman"/>
          <w:color w:val="auto"/>
          <w:sz w:val="24"/>
        </w:rPr>
        <w:t>广元市水务局主持召开了</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瓷窑铺至电子路道路建设工程</w:t>
      </w:r>
      <w:r>
        <w:rPr>
          <w:rFonts w:hint="default" w:ascii="Times New Roman" w:hAnsi="Times New Roman" w:cs="Times New Roman"/>
          <w:color w:val="auto"/>
          <w:sz w:val="24"/>
        </w:rPr>
        <w:t>&lt;送审稿&gt;</w:t>
      </w:r>
      <w:r>
        <w:rPr>
          <w:rFonts w:hint="default" w:ascii="Times New Roman" w:hAnsi="Times New Roman" w:cs="Times New Roman"/>
          <w:color w:val="auto"/>
          <w:sz w:val="24"/>
          <w:szCs w:val="24"/>
        </w:rPr>
        <w:t>》(以下简称“方案”)</w:t>
      </w:r>
      <w:r>
        <w:rPr>
          <w:rFonts w:hint="default" w:ascii="Times New Roman" w:hAnsi="Times New Roman" w:cs="Times New Roman"/>
          <w:color w:val="auto"/>
          <w:sz w:val="24"/>
        </w:rPr>
        <w:t>的技术审查会。</w:t>
      </w:r>
      <w:r>
        <w:rPr>
          <w:rFonts w:hint="eastAsia"/>
          <w:sz w:val="24"/>
          <w:szCs w:val="24"/>
        </w:rPr>
        <w:t>于201</w:t>
      </w:r>
      <w:r>
        <w:rPr>
          <w:rFonts w:hint="eastAsia"/>
          <w:sz w:val="24"/>
          <w:szCs w:val="24"/>
          <w:lang w:val="en-US" w:eastAsia="zh-CN"/>
        </w:rPr>
        <w:t>2</w:t>
      </w:r>
      <w:r>
        <w:rPr>
          <w:rFonts w:hint="eastAsia"/>
          <w:sz w:val="24"/>
          <w:szCs w:val="24"/>
        </w:rPr>
        <w:t>年</w:t>
      </w:r>
      <w:r>
        <w:rPr>
          <w:rFonts w:hint="eastAsia"/>
          <w:sz w:val="24"/>
          <w:szCs w:val="24"/>
          <w:lang w:val="en-US" w:eastAsia="zh-CN"/>
        </w:rPr>
        <w:t>12</w:t>
      </w:r>
      <w:r>
        <w:rPr>
          <w:rFonts w:hint="eastAsia"/>
          <w:sz w:val="24"/>
          <w:szCs w:val="24"/>
        </w:rPr>
        <w:t>月完成《</w:t>
      </w:r>
      <w:r>
        <w:rPr>
          <w:rFonts w:hint="eastAsia"/>
          <w:sz w:val="24"/>
          <w:szCs w:val="24"/>
          <w:lang w:eastAsia="zh-CN"/>
        </w:rPr>
        <w:t>瓷窑铺至电子路道路建设工程</w:t>
      </w:r>
      <w:r>
        <w:rPr>
          <w:rFonts w:hint="eastAsia"/>
          <w:sz w:val="24"/>
          <w:szCs w:val="24"/>
        </w:rPr>
        <w:t>水土保持方案</w:t>
      </w:r>
      <w:r>
        <w:rPr>
          <w:rFonts w:hint="eastAsia"/>
          <w:sz w:val="24"/>
          <w:szCs w:val="24"/>
          <w:lang w:eastAsia="zh-CN"/>
        </w:rPr>
        <w:t>报告书</w:t>
      </w:r>
      <w:r>
        <w:rPr>
          <w:rFonts w:hint="eastAsia"/>
          <w:sz w:val="24"/>
          <w:szCs w:val="24"/>
        </w:rPr>
        <w:t>》（报批稿）并于201</w:t>
      </w:r>
      <w:r>
        <w:rPr>
          <w:rFonts w:hint="eastAsia"/>
          <w:sz w:val="24"/>
          <w:szCs w:val="24"/>
          <w:lang w:val="en-US" w:eastAsia="zh-CN"/>
        </w:rPr>
        <w:t>2</w:t>
      </w:r>
      <w:r>
        <w:rPr>
          <w:rFonts w:hint="eastAsia"/>
          <w:sz w:val="24"/>
          <w:szCs w:val="24"/>
        </w:rPr>
        <w:t>年</w:t>
      </w:r>
      <w:r>
        <w:rPr>
          <w:rFonts w:hint="eastAsia"/>
          <w:sz w:val="24"/>
          <w:szCs w:val="24"/>
          <w:lang w:val="en-US" w:eastAsia="zh-CN"/>
        </w:rPr>
        <w:t>12</w:t>
      </w:r>
      <w:r>
        <w:rPr>
          <w:rFonts w:hint="eastAsia"/>
          <w:sz w:val="24"/>
          <w:szCs w:val="24"/>
        </w:rPr>
        <w:t>月</w:t>
      </w:r>
      <w:r>
        <w:rPr>
          <w:rFonts w:hint="eastAsia"/>
          <w:sz w:val="24"/>
          <w:szCs w:val="24"/>
          <w:lang w:val="en-US" w:eastAsia="zh-CN"/>
        </w:rPr>
        <w:t>29</w:t>
      </w:r>
      <w:r>
        <w:rPr>
          <w:rFonts w:hint="eastAsia"/>
          <w:sz w:val="24"/>
          <w:szCs w:val="24"/>
        </w:rPr>
        <w:t>日取得本工程水土保持批复。</w:t>
      </w:r>
    </w:p>
    <w:p>
      <w:pPr>
        <w:adjustRightInd/>
        <w:snapToGrid w:val="0"/>
        <w:spacing w:line="360" w:lineRule="auto"/>
        <w:ind w:firstLine="480" w:firstLineChars="200"/>
        <w:jc w:val="both"/>
        <w:rPr>
          <w:rFonts w:hint="eastAsia" w:hAnsi="宋体"/>
          <w:color w:val="auto"/>
          <w:sz w:val="24"/>
          <w:szCs w:val="18"/>
          <w:lang w:val="en-US" w:eastAsia="zh-CN"/>
        </w:rPr>
      </w:pPr>
      <w:r>
        <w:rPr>
          <w:rFonts w:hint="eastAsia" w:hAnsi="宋体"/>
          <w:color w:val="auto"/>
          <w:sz w:val="24"/>
          <w:szCs w:val="18"/>
          <w:lang w:val="en-US" w:eastAsia="zh-CN"/>
        </w:rPr>
        <w:t>本工程不涉及水土保持方案变更。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（三）水土保持初步设计或施工图设计情况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4" w:firstLineChars="200"/>
        <w:jc w:val="left"/>
        <w:textAlignment w:val="auto"/>
        <w:outlineLvl w:val="9"/>
        <w:rPr>
          <w:rFonts w:hint="eastAsia"/>
          <w:spacing w:val="-4"/>
          <w:sz w:val="24"/>
        </w:rPr>
      </w:pPr>
      <w:r>
        <w:rPr>
          <w:rFonts w:hint="eastAsia"/>
          <w:spacing w:val="-4"/>
          <w:sz w:val="24"/>
        </w:rPr>
        <w:t>2012年5月，</w:t>
      </w:r>
      <w:r>
        <w:rPr>
          <w:rFonts w:hint="eastAsia"/>
          <w:sz w:val="24"/>
        </w:rPr>
        <w:t>四川省交通运输厅公路规划勘察设计院</w:t>
      </w:r>
      <w:r>
        <w:rPr>
          <w:rFonts w:hint="eastAsia"/>
          <w:spacing w:val="-4"/>
          <w:sz w:val="24"/>
        </w:rPr>
        <w:t>完成</w:t>
      </w:r>
      <w:r>
        <w:rPr>
          <w:rFonts w:hint="eastAsia"/>
          <w:spacing w:val="-4"/>
          <w:sz w:val="24"/>
          <w:lang w:eastAsia="zh-CN"/>
        </w:rPr>
        <w:t>瓷窑铺至电子路道路建设工程</w:t>
      </w:r>
      <w:r>
        <w:rPr>
          <w:rFonts w:hint="eastAsia"/>
          <w:spacing w:val="-4"/>
          <w:sz w:val="24"/>
        </w:rPr>
        <w:t>道路工程》可研报告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4" w:firstLineChars="200"/>
        <w:jc w:val="left"/>
        <w:textAlignment w:val="auto"/>
        <w:outlineLvl w:val="9"/>
        <w:rPr>
          <w:rFonts w:hint="eastAsia"/>
          <w:spacing w:val="-4"/>
          <w:sz w:val="24"/>
        </w:rPr>
      </w:pPr>
      <w:r>
        <w:rPr>
          <w:rFonts w:hint="eastAsia"/>
          <w:spacing w:val="-4"/>
          <w:sz w:val="24"/>
        </w:rPr>
        <w:t>2012年</w:t>
      </w:r>
      <w:r>
        <w:rPr>
          <w:rFonts w:hint="eastAsia"/>
          <w:spacing w:val="-4"/>
          <w:sz w:val="24"/>
          <w:lang w:val="en-US" w:eastAsia="zh-CN"/>
        </w:rPr>
        <w:t>5</w:t>
      </w:r>
      <w:r>
        <w:rPr>
          <w:rFonts w:hint="eastAsia"/>
          <w:spacing w:val="-4"/>
          <w:sz w:val="24"/>
        </w:rPr>
        <w:t>月</w:t>
      </w:r>
      <w:r>
        <w:rPr>
          <w:rFonts w:hint="eastAsia"/>
          <w:spacing w:val="-4"/>
          <w:sz w:val="24"/>
          <w:lang w:val="en-US" w:eastAsia="zh-CN"/>
        </w:rPr>
        <w:t>16</w:t>
      </w:r>
      <w:r>
        <w:rPr>
          <w:rFonts w:hint="eastAsia"/>
          <w:spacing w:val="-4"/>
          <w:sz w:val="24"/>
        </w:rPr>
        <w:t>日，广元市发展和改革委员会关于《</w:t>
      </w:r>
      <w:r>
        <w:rPr>
          <w:rFonts w:hint="eastAsia"/>
          <w:spacing w:val="-4"/>
          <w:sz w:val="24"/>
          <w:lang w:eastAsia="zh-CN"/>
        </w:rPr>
        <w:t>瓷窑铺至电子路道路建设工程</w:t>
      </w:r>
      <w:r>
        <w:rPr>
          <w:rFonts w:hint="eastAsia"/>
          <w:spacing w:val="-4"/>
          <w:sz w:val="24"/>
        </w:rPr>
        <w:t>道路工程可行性研究报告的批复》广发改投资【2012】</w:t>
      </w:r>
      <w:r>
        <w:rPr>
          <w:rFonts w:hint="eastAsia"/>
          <w:spacing w:val="-4"/>
          <w:sz w:val="24"/>
          <w:lang w:val="en-US" w:eastAsia="zh-CN"/>
        </w:rPr>
        <w:t>62</w:t>
      </w:r>
      <w:r>
        <w:rPr>
          <w:rFonts w:hint="eastAsia"/>
          <w:spacing w:val="-4"/>
          <w:sz w:val="24"/>
        </w:rPr>
        <w:t>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4" w:firstLineChars="200"/>
        <w:jc w:val="left"/>
        <w:textAlignment w:val="auto"/>
        <w:outlineLvl w:val="9"/>
        <w:rPr>
          <w:sz w:val="24"/>
          <w:szCs w:val="24"/>
        </w:rPr>
      </w:pPr>
      <w:r>
        <w:rPr>
          <w:rFonts w:hint="eastAsia"/>
          <w:spacing w:val="-4"/>
          <w:sz w:val="24"/>
        </w:rPr>
        <w:t>201</w:t>
      </w:r>
      <w:r>
        <w:rPr>
          <w:rFonts w:hint="eastAsia"/>
          <w:spacing w:val="-4"/>
          <w:sz w:val="24"/>
          <w:lang w:val="en-US" w:eastAsia="zh-CN"/>
        </w:rPr>
        <w:t>3</w:t>
      </w:r>
      <w:r>
        <w:rPr>
          <w:rFonts w:hint="eastAsia"/>
          <w:spacing w:val="-4"/>
          <w:sz w:val="24"/>
        </w:rPr>
        <w:t>年</w:t>
      </w:r>
      <w:r>
        <w:rPr>
          <w:rFonts w:hint="eastAsia"/>
          <w:spacing w:val="-4"/>
          <w:sz w:val="24"/>
          <w:lang w:val="en-US" w:eastAsia="zh-CN"/>
        </w:rPr>
        <w:t>1</w:t>
      </w:r>
      <w:r>
        <w:rPr>
          <w:rFonts w:hint="eastAsia"/>
          <w:spacing w:val="-4"/>
          <w:sz w:val="24"/>
        </w:rPr>
        <w:t>月，</w:t>
      </w:r>
      <w:r>
        <w:rPr>
          <w:rFonts w:hint="eastAsia"/>
          <w:sz w:val="24"/>
        </w:rPr>
        <w:t>四川省交通运输厅公路规划勘察设计院</w:t>
      </w:r>
      <w:r>
        <w:rPr>
          <w:rFonts w:hint="eastAsia"/>
          <w:spacing w:val="-4"/>
          <w:sz w:val="24"/>
        </w:rPr>
        <w:t>完成</w:t>
      </w:r>
      <w:r>
        <w:rPr>
          <w:rFonts w:hint="eastAsia"/>
          <w:spacing w:val="-4"/>
          <w:sz w:val="24"/>
          <w:lang w:eastAsia="zh-CN"/>
        </w:rPr>
        <w:t>瓷窑铺至电子路道路建设工程</w:t>
      </w:r>
      <w:r>
        <w:rPr>
          <w:rFonts w:hint="eastAsia"/>
          <w:spacing w:val="-4"/>
          <w:sz w:val="24"/>
        </w:rPr>
        <w:t>道路工程》施工图设计</w:t>
      </w:r>
      <w:r>
        <w:rPr>
          <w:spacing w:val="-1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（四）水土保持监测情况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rFonts w:hint="eastAsia"/>
          <w:sz w:val="24"/>
          <w:szCs w:val="24"/>
          <w:lang w:eastAsia="zh-CN"/>
        </w:rPr>
        <w:t>广元市城建投资集团有限公司</w:t>
      </w:r>
      <w:r>
        <w:rPr>
          <w:rFonts w:hint="eastAsia"/>
          <w:sz w:val="24"/>
          <w:szCs w:val="24"/>
        </w:rPr>
        <w:t>于2017年</w:t>
      </w:r>
      <w:r>
        <w:rPr>
          <w:rFonts w:hint="eastAsia"/>
          <w:sz w:val="24"/>
          <w:szCs w:val="24"/>
          <w:lang w:val="en-US" w:eastAsia="zh-CN"/>
        </w:rPr>
        <w:t>12</w:t>
      </w:r>
      <w:r>
        <w:rPr>
          <w:rFonts w:hint="eastAsia"/>
          <w:sz w:val="24"/>
          <w:szCs w:val="24"/>
        </w:rPr>
        <w:t>月委托</w:t>
      </w:r>
      <w:r>
        <w:rPr>
          <w:rFonts w:hint="eastAsia"/>
          <w:sz w:val="24"/>
          <w:szCs w:val="24"/>
          <w:lang w:eastAsia="zh-CN"/>
        </w:rPr>
        <w:t>四川涪圣工程设计咨询有限公司</w:t>
      </w:r>
      <w:r>
        <w:rPr>
          <w:rFonts w:hint="eastAsia"/>
          <w:sz w:val="24"/>
          <w:szCs w:val="24"/>
        </w:rPr>
        <w:t>开展水土保持监测工作，监测单位接受委托后，组织水土保持监测技术人员进行了现场查勘，根据《水土保持监测技术规程》(SL277-2002)的技术要求编制相关报告。工程水土保持监测项目部共配置监测人员</w:t>
      </w:r>
      <w:r>
        <w:rPr>
          <w:rFonts w:hint="eastAsia"/>
          <w:sz w:val="24"/>
          <w:szCs w:val="24"/>
          <w:lang w:val="en-US" w:eastAsia="zh-CN"/>
        </w:rPr>
        <w:t>5</w:t>
      </w:r>
      <w:r>
        <w:rPr>
          <w:rFonts w:hint="eastAsia"/>
          <w:sz w:val="24"/>
          <w:szCs w:val="24"/>
        </w:rPr>
        <w:t>名， 监测频率及内容基本符合相关规程规范及文件要求。工程水土保持监测共布设</w:t>
      </w:r>
      <w:r>
        <w:rPr>
          <w:rFonts w:hint="eastAsia"/>
          <w:sz w:val="24"/>
          <w:szCs w:val="24"/>
          <w:lang w:val="en-US" w:eastAsia="zh-CN"/>
        </w:rPr>
        <w:t>7</w:t>
      </w:r>
      <w:r>
        <w:rPr>
          <w:rFonts w:hint="eastAsia"/>
          <w:sz w:val="24"/>
          <w:szCs w:val="24"/>
        </w:rPr>
        <w:t>处监测点位，采取地面观测与调查监测相结合的方式开展水土保持监测工作。水土保持监测单位日常根据工程水土保持监测实施方案及相关文件规定的监测频次要求开展水土保持监测数据收集和调查工作，并在数据分析的基础上编制监测季报等阶段性报告；监测过程中发现的问题向</w:t>
      </w:r>
      <w:r>
        <w:rPr>
          <w:rFonts w:hint="eastAsia"/>
          <w:sz w:val="24"/>
          <w:szCs w:val="24"/>
          <w:lang w:eastAsia="zh-CN"/>
        </w:rPr>
        <w:t>广元市城建投资集团有限公司</w:t>
      </w:r>
      <w:r>
        <w:rPr>
          <w:rFonts w:hint="eastAsia"/>
          <w:sz w:val="24"/>
          <w:szCs w:val="24"/>
        </w:rPr>
        <w:t>提出建议，</w:t>
      </w:r>
      <w:r>
        <w:rPr>
          <w:rFonts w:hint="eastAsia"/>
          <w:sz w:val="24"/>
          <w:szCs w:val="24"/>
          <w:lang w:eastAsia="zh-CN"/>
        </w:rPr>
        <w:t>广元市城建投资集团有限公司</w:t>
      </w:r>
      <w:r>
        <w:rPr>
          <w:rFonts w:hint="eastAsia"/>
          <w:sz w:val="24"/>
          <w:szCs w:val="24"/>
        </w:rPr>
        <w:t>及时进行了整改。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rFonts w:hint="eastAsia"/>
          <w:sz w:val="24"/>
          <w:szCs w:val="24"/>
        </w:rPr>
        <w:t>监测期间，监测单位定期按时向水行政主管部门汇报工程水土保持监测开展情况，并定期报送水土保持监测成果。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rPr>
        <w:t>通过监测得，本工程建设实际发生水土流失防治责任范围</w:t>
      </w:r>
      <w:r>
        <w:rPr>
          <w:rFonts w:hint="eastAsia"/>
          <w:sz w:val="24"/>
          <w:szCs w:val="24"/>
          <w:lang w:val="en-US" w:eastAsia="zh-CN"/>
        </w:rPr>
        <w:t>27.42h</w:t>
      </w:r>
      <w:r>
        <w:rPr>
          <w:rFonts w:hint="eastAsia"/>
          <w:sz w:val="24"/>
          <w:szCs w:val="24"/>
        </w:rPr>
        <w:t>m²。扰动地表面积</w:t>
      </w:r>
      <w:r>
        <w:rPr>
          <w:rFonts w:hint="eastAsia"/>
          <w:sz w:val="24"/>
          <w:szCs w:val="24"/>
          <w:lang w:val="en-US" w:eastAsia="zh-CN"/>
        </w:rPr>
        <w:t>27.01h</w:t>
      </w:r>
      <w:r>
        <w:rPr>
          <w:rFonts w:hint="eastAsia"/>
          <w:sz w:val="24"/>
          <w:szCs w:val="24"/>
        </w:rPr>
        <w:t>m²，造成水土流失面积</w:t>
      </w:r>
      <w:r>
        <w:rPr>
          <w:rFonts w:hint="eastAsia"/>
          <w:sz w:val="24"/>
          <w:szCs w:val="24"/>
          <w:lang w:val="en-US" w:eastAsia="zh-CN"/>
        </w:rPr>
        <w:t>18.61h</w:t>
      </w:r>
      <w:r>
        <w:rPr>
          <w:rFonts w:hint="eastAsia"/>
          <w:sz w:val="24"/>
          <w:szCs w:val="24"/>
        </w:rPr>
        <w:t>m²；经计算得，</w:t>
      </w:r>
      <w:r>
        <w:rPr>
          <w:rFonts w:hint="default" w:ascii="Times New Roman" w:hAnsi="Times New Roman" w:cs="Times New Roman"/>
          <w:color w:val="auto"/>
          <w:spacing w:val="0"/>
          <w:sz w:val="24"/>
          <w:szCs w:val="24"/>
        </w:rPr>
        <w:t xml:space="preserve">扰动土地整治率 </w:t>
      </w:r>
      <w:r>
        <w:rPr>
          <w:rFonts w:hint="eastAsia" w:ascii="Times New Roman" w:hAnsi="Times New Roman" w:cs="Times New Roman"/>
          <w:color w:val="auto"/>
          <w:sz w:val="24"/>
          <w:szCs w:val="24"/>
          <w:lang w:eastAsia="zh-CN"/>
        </w:rPr>
        <w:t>98.5%</w:t>
      </w:r>
      <w:r>
        <w:rPr>
          <w:rFonts w:hint="default" w:ascii="Times New Roman" w:hAnsi="Times New Roman" w:cs="Times New Roman"/>
          <w:color w:val="auto"/>
          <w:spacing w:val="0"/>
          <w:sz w:val="24"/>
          <w:szCs w:val="24"/>
        </w:rPr>
        <w:t>，水土流失总治理度</w:t>
      </w:r>
      <w:r>
        <w:rPr>
          <w:rFonts w:hint="eastAsia" w:ascii="Times New Roman" w:hAnsi="Times New Roman" w:cs="Times New Roman"/>
          <w:color w:val="auto"/>
          <w:spacing w:val="0"/>
          <w:sz w:val="24"/>
          <w:szCs w:val="24"/>
          <w:lang w:val="en-US" w:eastAsia="zh-CN"/>
        </w:rPr>
        <w:t>97.8</w:t>
      </w:r>
      <w:r>
        <w:rPr>
          <w:rFonts w:hint="default" w:ascii="Times New Roman" w:hAnsi="Times New Roman" w:cs="Times New Roman" w:eastAsiaTheme="minorEastAsia"/>
          <w:color w:val="auto"/>
          <w:sz w:val="24"/>
          <w:szCs w:val="24"/>
        </w:rPr>
        <w:t>%</w:t>
      </w:r>
      <w:r>
        <w:rPr>
          <w:rFonts w:hint="default" w:ascii="Times New Roman" w:hAnsi="Times New Roman" w:cs="Times New Roman"/>
          <w:color w:val="auto"/>
          <w:sz w:val="24"/>
          <w:szCs w:val="24"/>
        </w:rPr>
        <w:t>，</w:t>
      </w:r>
      <w:r>
        <w:rPr>
          <w:rFonts w:hint="default" w:ascii="Times New Roman" w:hAnsi="Times New Roman" w:cs="Times New Roman"/>
          <w:color w:val="auto"/>
          <w:spacing w:val="0"/>
          <w:sz w:val="24"/>
          <w:szCs w:val="24"/>
        </w:rPr>
        <w:t xml:space="preserve">土壤流失控制比 </w:t>
      </w:r>
      <w:r>
        <w:rPr>
          <w:rFonts w:hint="default" w:ascii="Times New Roman" w:hAnsi="Times New Roman" w:cs="Times New Roman" w:eastAsiaTheme="minorEastAsia"/>
          <w:color w:val="auto"/>
          <w:spacing w:val="0"/>
          <w:sz w:val="24"/>
          <w:szCs w:val="24"/>
        </w:rPr>
        <w:t>1.0</w:t>
      </w:r>
      <w:r>
        <w:rPr>
          <w:rFonts w:hint="default" w:ascii="Times New Roman" w:hAnsi="Times New Roman" w:cs="Times New Roman"/>
          <w:color w:val="auto"/>
          <w:spacing w:val="0"/>
          <w:sz w:val="24"/>
          <w:szCs w:val="24"/>
        </w:rPr>
        <w:t>，拦渣率</w:t>
      </w:r>
      <w:r>
        <w:rPr>
          <w:rFonts w:hint="eastAsia" w:ascii="Times New Roman" w:hAnsi="Times New Roman" w:cs="Times New Roman"/>
          <w:color w:val="auto"/>
          <w:spacing w:val="0"/>
          <w:sz w:val="24"/>
          <w:szCs w:val="24"/>
          <w:lang w:val="en-US" w:eastAsia="zh-CN"/>
        </w:rPr>
        <w:t>99.8</w:t>
      </w:r>
      <w:r>
        <w:rPr>
          <w:rFonts w:hint="default" w:ascii="Times New Roman" w:hAnsi="Times New Roman" w:cs="Times New Roman" w:eastAsiaTheme="minorEastAsia"/>
          <w:color w:val="auto"/>
          <w:spacing w:val="0"/>
          <w:sz w:val="24"/>
          <w:szCs w:val="24"/>
        </w:rPr>
        <w:t>%</w:t>
      </w:r>
      <w:r>
        <w:rPr>
          <w:rFonts w:hint="default" w:ascii="Times New Roman" w:hAnsi="Times New Roman" w:cs="Times New Roman"/>
          <w:color w:val="auto"/>
          <w:spacing w:val="0"/>
          <w:sz w:val="24"/>
          <w:szCs w:val="24"/>
        </w:rPr>
        <w:t>，林草植被恢复率</w:t>
      </w:r>
      <w:r>
        <w:rPr>
          <w:rFonts w:hint="eastAsia" w:ascii="Times New Roman" w:hAnsi="Times New Roman" w:cs="Times New Roman"/>
          <w:color w:val="auto"/>
          <w:spacing w:val="0"/>
          <w:sz w:val="24"/>
          <w:szCs w:val="24"/>
          <w:lang w:val="en-US" w:eastAsia="zh-CN"/>
        </w:rPr>
        <w:t>99.61</w:t>
      </w:r>
      <w:r>
        <w:rPr>
          <w:rFonts w:hint="eastAsia" w:ascii="Times New Roman" w:hAnsi="Times New Roman" w:cs="Times New Roman"/>
          <w:color w:val="auto"/>
          <w:spacing w:val="0"/>
          <w:sz w:val="24"/>
          <w:szCs w:val="24"/>
          <w:lang w:eastAsia="zh-CN"/>
        </w:rPr>
        <w:t>%</w:t>
      </w:r>
      <w:r>
        <w:rPr>
          <w:rFonts w:hint="default" w:ascii="Times New Roman" w:hAnsi="Times New Roman" w:cs="Times New Roman"/>
          <w:color w:val="auto"/>
          <w:spacing w:val="0"/>
          <w:sz w:val="24"/>
          <w:szCs w:val="24"/>
        </w:rPr>
        <w:t>，林草覆盖率</w:t>
      </w:r>
      <w:r>
        <w:rPr>
          <w:rFonts w:hint="eastAsia" w:ascii="Times New Roman" w:hAnsi="Times New Roman" w:cs="Times New Roman"/>
          <w:color w:val="auto"/>
          <w:spacing w:val="0"/>
          <w:sz w:val="24"/>
          <w:szCs w:val="24"/>
          <w:lang w:val="en-US" w:eastAsia="zh-CN"/>
        </w:rPr>
        <w:t>27.9</w:t>
      </w:r>
      <w:r>
        <w:rPr>
          <w:rFonts w:hint="default" w:ascii="Times New Roman" w:hAnsi="Times New Roman" w:cs="Times New Roman" w:eastAsiaTheme="minorEastAsia"/>
          <w:color w:val="auto"/>
          <w:sz w:val="24"/>
          <w:szCs w:val="24"/>
        </w:rPr>
        <w:t>%</w:t>
      </w:r>
      <w:r>
        <w:rPr>
          <w:rFonts w:hint="eastAsia"/>
          <w:sz w:val="24"/>
          <w:szCs w:val="24"/>
        </w:rPr>
        <w:t>。各项指标监测值均达到方案设计防治目标值</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（五）验收报告编制情况和主要结论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1、</w:t>
      </w:r>
      <w:r>
        <w:rPr>
          <w:sz w:val="24"/>
          <w:szCs w:val="24"/>
        </w:rPr>
        <w:t>水土保持设施验收报告编制情况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sz w:val="24"/>
          <w:szCs w:val="24"/>
        </w:rPr>
      </w:pPr>
      <w:r>
        <mc:AlternateContent>
          <mc:Choice Requires="wpg">
            <w:drawing>
              <wp:anchor distT="0" distB="0" distL="114300" distR="114300" simplePos="0" relativeHeight="1258220544" behindDoc="1" locked="0" layoutInCell="1" allowOverlap="1">
                <wp:simplePos x="0" y="0"/>
                <wp:positionH relativeFrom="page">
                  <wp:posOffset>1080135</wp:posOffset>
                </wp:positionH>
                <wp:positionV relativeFrom="page">
                  <wp:posOffset>904875</wp:posOffset>
                </wp:positionV>
                <wp:extent cx="5347970" cy="8852535"/>
                <wp:effectExtent l="1905" t="1270" r="14605" b="15875"/>
                <wp:wrapNone/>
                <wp:docPr id="15"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16" name="矩形 3"/>
                        <wps:cNvSpPr/>
                        <wps:spPr>
                          <a:xfrm>
                            <a:off x="1529" y="2064"/>
                            <a:ext cx="10" cy="10"/>
                          </a:xfrm>
                          <a:prstGeom prst="rect">
                            <a:avLst/>
                          </a:prstGeom>
                          <a:solidFill>
                            <a:srgbClr val="000000"/>
                          </a:solidFill>
                          <a:ln w="9525">
                            <a:noFill/>
                          </a:ln>
                        </wps:spPr>
                        <wps:bodyPr upright="1"/>
                      </wps:wsp>
                      <wps:wsp>
                        <wps:cNvPr id="17"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18" name="矩形 5"/>
                        <wps:cNvSpPr/>
                        <wps:spPr>
                          <a:xfrm>
                            <a:off x="10370" y="2064"/>
                            <a:ext cx="10" cy="10"/>
                          </a:xfrm>
                          <a:prstGeom prst="rect">
                            <a:avLst/>
                          </a:prstGeom>
                          <a:solidFill>
                            <a:srgbClr val="000000"/>
                          </a:solidFill>
                          <a:ln w="9525">
                            <a:noFill/>
                          </a:ln>
                        </wps:spPr>
                        <wps:bodyPr upright="1"/>
                      </wps:wsp>
                      <wps:wsp>
                        <wps:cNvPr id="19"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20"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21"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05pt;margin-top:71.25pt;height:697.05pt;width:421.1pt;mso-position-horizontal-relative:page;mso-position-vertical-relative:page;z-index:754904064;mso-width-relative:page;mso-height-relative:page;" coordorigin="1529,2064" coordsize="8851,12782" o:gfxdata="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02GSBdsAAAANAQAADwAAAAAAAAABACAAAAAiAAAAZHJzL2Rvd25y&#10;ZXYueG1sUEsBAhQAFAAAAAgAh07iQJdXMhcYAwAA3A0AAA4AAAAAAAAAAQAgAAAAKgEAAGRycy9l&#10;Mm9Eb2MueG1sUEsFBgAAAAAGAAYAWQEAALQGAAAAAA==&#10;">
                <o:lock v:ext="edit" aspectratio="f"/>
                <v:rect id="矩形 3" o:spid="_x0000_s1026" o:spt="1" style="position:absolute;left:1529;top:2064;height:10;width:1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2ULNxroAAADb&#10;AAAADwAAAGRycy9kb3ducmV2LnhtbEVPTWuDQBC9B/Iflin0FldjG8S6BiIEAj01TXqeulOVurPi&#10;boz213cPhR4f77vYz6YXE42us6wgiWIQxLXVHTcKLu/HTQbCeWSNvWVSsJCDfbleFZhre+c3ms6+&#10;ESGEXY4KWu+HXEpXt2TQRXYgDtyXHQ36AMdG6hHvIdz0chvHO2mw49DQ4kBVS/X3+WYUPE3z8vpT&#10;0SH9PCVL9txcU/fRK/X4kMQvIDzN/l/85z5pBduwPnwJP0C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Qs3G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w:rPr>
          <w:rFonts w:hint="eastAsia" w:hAnsi="宋体"/>
          <w:color w:val="auto"/>
          <w:sz w:val="24"/>
          <w:szCs w:val="18"/>
          <w:lang w:val="en-US" w:eastAsia="zh-CN"/>
        </w:rPr>
        <w:t>根据《中华人民共和国水土保持法》、《开发建设项目水土保持设施验收管理办法》（水利部令第 16 号）以及《水利部关于加强事中事后监管规范生产建设项目水土保持设施自主验收的通知》（水保〔2017〕365 号）的规定，本工程在水土保持设施完工后，广元市城建投资集团有限公司成立了由设计、施工、监理等单位参与的验收编制组对瓷窑铺至电子路道路建设工程水土保持设施开展了验收报告的编制。广元市城建投资集团有限公司在对工程设计、招投标文件、验收、监理、监测、质量管理、财务结算等档案资料的查阅及对工程现场的核验后，广元市城建投资集团有限公司认为工程已具备申请水土保持设施竣工验收的条件，并与水土保持设施验收报告编制单位一起完成了《</w:t>
      </w:r>
      <w:r>
        <w:rPr>
          <w:rFonts w:hint="eastAsia"/>
          <w:sz w:val="24"/>
          <w:szCs w:val="24"/>
          <w:lang w:eastAsia="zh-CN"/>
        </w:rPr>
        <w:t>瓷窑铺至电子路道路建设工程</w:t>
      </w:r>
      <w:r>
        <w:rPr>
          <w:rFonts w:hint="eastAsia" w:hAnsi="宋体"/>
          <w:color w:val="auto"/>
          <w:sz w:val="24"/>
          <w:szCs w:val="18"/>
          <w:lang w:val="en-US" w:eastAsia="zh-CN"/>
        </w:rPr>
        <w:t>水土保持设施验收报告》。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lang w:val="en-US" w:eastAsia="zh-CN"/>
        </w:rPr>
        <w:t>2、</w:t>
      </w:r>
      <w:r>
        <w:rPr>
          <w:sz w:val="24"/>
          <w:szCs w:val="24"/>
        </w:rPr>
        <w:t>告主要结论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24"/>
        </w:rPr>
      </w:pPr>
      <w:r>
        <w:rPr>
          <w:rFonts w:hint="eastAsia"/>
          <w:sz w:val="24"/>
          <w:szCs w:val="24"/>
        </w:rPr>
        <w:t>工程各项水保措施布局合理，各种措施因地制宜，各项水土保持设施建成后，工程运行交由</w:t>
      </w:r>
      <w:r>
        <w:rPr>
          <w:rFonts w:hint="eastAsia"/>
          <w:sz w:val="24"/>
          <w:szCs w:val="24"/>
          <w:lang w:eastAsia="zh-CN"/>
        </w:rPr>
        <w:t>广元市城建投资集团有限公司</w:t>
      </w:r>
      <w:r>
        <w:rPr>
          <w:rFonts w:hint="eastAsia"/>
          <w:sz w:val="24"/>
          <w:szCs w:val="24"/>
        </w:rPr>
        <w:t>管理。组织专职人员对工程完建的水土保持设施进行定期巡查、检查，若发现其存在破损现象及时组织施工人员进行修葺完善，对生长状况较差的植物措施进行了补植，并加强养护。水土保持措施目前运行良好，保持完整，起到了防治水土流失的良好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rFonts w:hint="eastAsia"/>
          <w:sz w:val="24"/>
          <w:szCs w:val="24"/>
        </w:rPr>
        <w:t>从目前水土保持设施运行情况来看，已建成的水土保持设施运行正常，水土保持设施管护工作已落实到位，管理工作效果明显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（六）验收结论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val="en-US" w:eastAsia="zh-CN"/>
        </w:rPr>
        <w:t>1、</w:t>
      </w:r>
      <w:r>
        <w:rPr>
          <w:rFonts w:hint="eastAsia"/>
          <w:spacing w:val="3"/>
          <w:sz w:val="24"/>
          <w:szCs w:val="24"/>
        </w:rPr>
        <w:t>水土保持制度落实情况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eastAsia="zh-CN"/>
        </w:rPr>
        <w:t>广元市城建投资集团有限公司</w:t>
      </w:r>
      <w:r>
        <w:rPr>
          <w:rFonts w:hint="eastAsia"/>
          <w:spacing w:val="3"/>
          <w:sz w:val="24"/>
          <w:szCs w:val="24"/>
        </w:rPr>
        <w:t>按照水土保持法律、法规、规范性文件和相关技术规范、标准要求，委托四川涪圣工程设计咨询有限公司开展了工程水土保持方案编报工作， 并取得</w:t>
      </w:r>
      <w:r>
        <w:rPr>
          <w:rFonts w:hint="eastAsia"/>
          <w:spacing w:val="3"/>
          <w:sz w:val="24"/>
          <w:szCs w:val="24"/>
          <w:lang w:eastAsia="zh-CN"/>
        </w:rPr>
        <w:t>广元市水务局</w:t>
      </w:r>
      <w:r>
        <w:rPr>
          <w:rFonts w:hint="eastAsia"/>
          <w:spacing w:val="3"/>
          <w:sz w:val="24"/>
          <w:szCs w:val="24"/>
        </w:rPr>
        <w:t>对工程水土保持方案的批复；工程按照水土保持要求布设水土保持措施，并在施工过程中制定了一系列管理规定及要求，保证了水土保持设施的施工质量和施工进度。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eastAsia="zh-CN"/>
        </w:rPr>
        <w:t>广元市城建投资集团有限公司</w:t>
      </w:r>
      <w:r>
        <w:rPr>
          <w:rFonts w:hint="eastAsia"/>
          <w:spacing w:val="3"/>
          <w:sz w:val="24"/>
          <w:szCs w:val="24"/>
        </w:rPr>
        <w:t>在工程建设过程中，依据批复的水土保持方案及施工图设计，结合主体工程建设实际，与主体工程施工同步实施了水土保持工程，水土保持专项设计的水土保持建设任务已完成，已完成的水土保持设施质量总体合格，符合主体工程和水土保持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val="en-US" w:eastAsia="zh-CN"/>
        </w:rPr>
        <w:t>2、</w:t>
      </w:r>
      <w:r>
        <w:rPr>
          <w:rFonts w:hint="eastAsia"/>
          <w:spacing w:val="3"/>
          <w:sz w:val="24"/>
          <w:szCs w:val="24"/>
        </w:rPr>
        <w:t>水土保持措施质量情况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rPr>
        <w:t>目前，</w:t>
      </w:r>
      <w:r>
        <w:rPr>
          <w:rFonts w:hint="eastAsia"/>
          <w:spacing w:val="3"/>
          <w:sz w:val="24"/>
          <w:szCs w:val="24"/>
          <w:lang w:eastAsia="zh-CN"/>
        </w:rPr>
        <w:t>广元市城建投资集团有限公司</w:t>
      </w:r>
      <w:r>
        <w:rPr>
          <w:rFonts w:hint="eastAsia"/>
          <w:spacing w:val="3"/>
          <w:sz w:val="24"/>
          <w:szCs w:val="24"/>
        </w:rPr>
        <w:t>已按批复的水土保持设计文件要求，结合工程实际分阶段实施了水土保持各项工程措施和植物措施；经自验核查各单位工程、分部工程质量全部合格，合格率100%，达到了水土流失防治要求。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spacing w:val="3"/>
          <w:sz w:val="24"/>
          <w:szCs w:val="24"/>
        </w:rPr>
      </w:pPr>
      <w:r>
        <mc:AlternateContent>
          <mc:Choice Requires="wpg">
            <w:drawing>
              <wp:anchor distT="0" distB="0" distL="114300" distR="114300" simplePos="0" relativeHeight="3271347200" behindDoc="1" locked="0" layoutInCell="1" allowOverlap="1">
                <wp:simplePos x="0" y="0"/>
                <wp:positionH relativeFrom="page">
                  <wp:posOffset>1087755</wp:posOffset>
                </wp:positionH>
                <wp:positionV relativeFrom="page">
                  <wp:posOffset>904875</wp:posOffset>
                </wp:positionV>
                <wp:extent cx="5347970" cy="8852535"/>
                <wp:effectExtent l="1905" t="1270" r="14605" b="15875"/>
                <wp:wrapNone/>
                <wp:docPr id="29"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30" name="矩形 3"/>
                        <wps:cNvSpPr/>
                        <wps:spPr>
                          <a:xfrm>
                            <a:off x="1529" y="2064"/>
                            <a:ext cx="10" cy="10"/>
                          </a:xfrm>
                          <a:prstGeom prst="rect">
                            <a:avLst/>
                          </a:prstGeom>
                          <a:solidFill>
                            <a:srgbClr val="000000"/>
                          </a:solidFill>
                          <a:ln w="9525">
                            <a:noFill/>
                          </a:ln>
                        </wps:spPr>
                        <wps:bodyPr upright="1"/>
                      </wps:wsp>
                      <wps:wsp>
                        <wps:cNvPr id="31"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32" name="矩形 5"/>
                        <wps:cNvSpPr/>
                        <wps:spPr>
                          <a:xfrm>
                            <a:off x="10370" y="2064"/>
                            <a:ext cx="10" cy="10"/>
                          </a:xfrm>
                          <a:prstGeom prst="rect">
                            <a:avLst/>
                          </a:prstGeom>
                          <a:solidFill>
                            <a:srgbClr val="000000"/>
                          </a:solidFill>
                          <a:ln w="9525">
                            <a:noFill/>
                          </a:ln>
                        </wps:spPr>
                        <wps:bodyPr upright="1"/>
                      </wps:wsp>
                      <wps:wsp>
                        <wps:cNvPr id="33"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34"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35"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65pt;margin-top:71.25pt;height:697.05pt;width:421.1pt;mso-position-horizontal-relative:page;mso-position-vertical-relative:page;z-index:-1526936576;mso-width-relative:page;mso-height-relative:page;" coordorigin="1529,2064" coordsize="8851,12782" o:gfxdata="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OmkqFzaAAAADQEAAA8AAAAAAAAAAQAgAAAAIgAAAGRycy9kb3ducmV2LnhtbFBL&#10;AQIUABQAAAAIAIdO4kBymO9EEQMAANwNAAAOAAAAAAAAAAEAIAAAACkBAABkcnMvZTJvRG9jLnht&#10;bFBLBQYAAAAABgAGAFkBAACsBgAAAAA=&#10;">
                <o:lock v:ext="edit" aspectratio="f"/>
                <v:rect id="矩形 3" o:spid="_x0000_s1026" o:spt="1" style="position:absolute;left:1529;top:2064;height:10;width:10;"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I6BdGLwAAADb&#10;AAAADwAAAGRycy9kb3ducmV2LnhtbEWPQYvCMBSE7wv+h/AEb2ta64pUo6AgCJ50dz0/m2dbbF5K&#10;E2vrrzfCwh6HmfmGWa47U4mWGldaVhCPIxDEmdUl5wp+vnefcxDOI2usLJOCnhysV4OPJabaPvhI&#10;7cnnIkDYpaig8L5OpXRZQQbd2NbEwbvaxqAPssmlbvAR4KaSkyiaSYMlh4UCa9oWlN1Od6Ng2nb9&#10;4bmlTXLZx/38K/9N3LlSajSMowUIT53/D/+191pBMoX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gXRi8AAAA&#10;2wAAAA8AAAAAAAAAAQAgAAAAIgAAAGRycy9kb3ducmV2LnhtbFBLAQIUABQAAAAIAIdO4kAzLwWe&#10;OwAAADkAAAAQAAAAAAAAAAEAIAAAAAsBAABkcnMvc2hhcGV4bWwueG1sUEsFBgAAAAAGAAYAWwEA&#10;ALUDA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group>
            </w:pict>
          </mc:Fallback>
        </mc:AlternateContent>
      </w:r>
      <w:r>
        <w:rPr>
          <w:rFonts w:hint="eastAsia"/>
          <w:spacing w:val="3"/>
          <w:sz w:val="24"/>
          <w:szCs w:val="24"/>
          <w:lang w:val="en-US" w:eastAsia="zh-CN"/>
        </w:rPr>
        <w:t>3、</w:t>
      </w:r>
      <w:r>
        <w:rPr>
          <w:rFonts w:hint="eastAsia"/>
          <w:spacing w:val="3"/>
          <w:sz w:val="24"/>
          <w:szCs w:val="24"/>
        </w:rPr>
        <w:t>水土流失治理效果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rPr>
        <w:t>通过对项目建设区水土流失的综合防治，项目建设区</w:t>
      </w:r>
      <w:r>
        <w:rPr>
          <w:rFonts w:hint="eastAsia"/>
          <w:sz w:val="24"/>
          <w:szCs w:val="24"/>
        </w:rPr>
        <w:t>扰动地表面积</w:t>
      </w:r>
      <w:r>
        <mc:AlternateContent>
          <mc:Choice Requires="wpg">
            <w:drawing>
              <wp:anchor distT="0" distB="0" distL="114300" distR="114300" simplePos="0" relativeHeight="486224896" behindDoc="1" locked="0" layoutInCell="1" allowOverlap="1">
                <wp:simplePos x="0" y="0"/>
                <wp:positionH relativeFrom="page">
                  <wp:posOffset>1087755</wp:posOffset>
                </wp:positionH>
                <wp:positionV relativeFrom="page">
                  <wp:posOffset>904875</wp:posOffset>
                </wp:positionV>
                <wp:extent cx="5347970" cy="8852535"/>
                <wp:effectExtent l="1905" t="1270" r="3175" b="4445"/>
                <wp:wrapNone/>
                <wp:docPr id="8" name="组合 2"/>
                <wp:cNvGraphicFramePr/>
                <a:graphic xmlns:a="http://schemas.openxmlformats.org/drawingml/2006/main">
                  <a:graphicData uri="http://schemas.microsoft.com/office/word/2010/wordprocessingGroup">
                    <wpg:wgp>
                      <wpg:cNvGrpSpPr/>
                      <wpg:grpSpPr>
                        <a:xfrm>
                          <a:off x="0" y="0"/>
                          <a:ext cx="5347970" cy="8852535"/>
                          <a:chOff x="1529" y="2064"/>
                          <a:chExt cx="8851" cy="12782"/>
                        </a:xfrm>
                      </wpg:grpSpPr>
                      <wps:wsp>
                        <wps:cNvPr id="9" name="矩形 3"/>
                        <wps:cNvSpPr/>
                        <wps:spPr>
                          <a:xfrm>
                            <a:off x="1529" y="2064"/>
                            <a:ext cx="10" cy="10"/>
                          </a:xfrm>
                          <a:prstGeom prst="rect">
                            <a:avLst/>
                          </a:prstGeom>
                          <a:solidFill>
                            <a:srgbClr val="000000"/>
                          </a:solidFill>
                          <a:ln w="9525">
                            <a:noFill/>
                          </a:ln>
                        </wps:spPr>
                        <wps:bodyPr upright="1"/>
                      </wps:wsp>
                      <wps:wsp>
                        <wps:cNvPr id="10" name="直线 4"/>
                        <wps:cNvCnPr/>
                        <wps:spPr>
                          <a:xfrm>
                            <a:off x="1539" y="2069"/>
                            <a:ext cx="8831" cy="0"/>
                          </a:xfrm>
                          <a:prstGeom prst="line">
                            <a:avLst/>
                          </a:prstGeom>
                          <a:ln w="6096" cap="flat" cmpd="sng">
                            <a:solidFill>
                              <a:srgbClr val="000000"/>
                            </a:solidFill>
                            <a:prstDash val="solid"/>
                            <a:headEnd type="none" w="med" len="med"/>
                            <a:tailEnd type="none" w="med" len="med"/>
                          </a:ln>
                        </wps:spPr>
                        <wps:bodyPr upright="1"/>
                      </wps:wsp>
                      <wps:wsp>
                        <wps:cNvPr id="11" name="矩形 5"/>
                        <wps:cNvSpPr/>
                        <wps:spPr>
                          <a:xfrm>
                            <a:off x="10370" y="2064"/>
                            <a:ext cx="10" cy="10"/>
                          </a:xfrm>
                          <a:prstGeom prst="rect">
                            <a:avLst/>
                          </a:prstGeom>
                          <a:solidFill>
                            <a:srgbClr val="000000"/>
                          </a:solidFill>
                          <a:ln w="9525">
                            <a:noFill/>
                          </a:ln>
                        </wps:spPr>
                        <wps:bodyPr upright="1"/>
                      </wps:wsp>
                      <wps:wsp>
                        <wps:cNvPr id="12" name="直线 6"/>
                        <wps:cNvCnPr/>
                        <wps:spPr>
                          <a:xfrm>
                            <a:off x="1534" y="2074"/>
                            <a:ext cx="0" cy="12772"/>
                          </a:xfrm>
                          <a:prstGeom prst="line">
                            <a:avLst/>
                          </a:prstGeom>
                          <a:ln w="6096" cap="flat" cmpd="sng">
                            <a:solidFill>
                              <a:srgbClr val="000000"/>
                            </a:solidFill>
                            <a:prstDash val="solid"/>
                            <a:headEnd type="none" w="med" len="med"/>
                            <a:tailEnd type="none" w="med" len="med"/>
                          </a:ln>
                        </wps:spPr>
                        <wps:bodyPr upright="1"/>
                      </wps:wsp>
                      <wps:wsp>
                        <wps:cNvPr id="13" name="直线 7"/>
                        <wps:cNvCnPr/>
                        <wps:spPr>
                          <a:xfrm>
                            <a:off x="1539" y="14841"/>
                            <a:ext cx="8831" cy="0"/>
                          </a:xfrm>
                          <a:prstGeom prst="line">
                            <a:avLst/>
                          </a:prstGeom>
                          <a:ln w="6097" cap="flat" cmpd="sng">
                            <a:solidFill>
                              <a:srgbClr val="000000"/>
                            </a:solidFill>
                            <a:prstDash val="solid"/>
                            <a:headEnd type="none" w="med" len="med"/>
                            <a:tailEnd type="none" w="med" len="med"/>
                          </a:ln>
                        </wps:spPr>
                        <wps:bodyPr upright="1"/>
                      </wps:wsp>
                      <wps:wsp>
                        <wps:cNvPr id="14" name="直线 8"/>
                        <wps:cNvCnPr/>
                        <wps:spPr>
                          <a:xfrm>
                            <a:off x="10375" y="2074"/>
                            <a:ext cx="0" cy="127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85.65pt;margin-top:71.25pt;height:697.05pt;width:421.1pt;mso-position-horizontal-relative:page;mso-position-vertical-relative:page;z-index:-17091584;mso-width-relative:page;mso-height-relative:page;" coordorigin="1529,2064" coordsize="8851,12782" o:gfxdata="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6aSoXNoAAAANAQAADwAAAAAAAAABACAAAAAiAAAAZHJzL2Rvd25yZXYueG1sUEsBAhQA&#10;FAAAAAgAh07iQKAwNd4NAwAA2g0AAA4AAAAAAAAAAQAgAAAAKQEAAGRycy9lMm9Eb2MueG1sUEsF&#10;BgAAAAAGAAYAWQEAAKgGAAAAAA==&#10;">
                <o:lock v:ext="edit" aspectratio="f"/>
                <v:rect id="矩形 3" o:spid="_x0000_s1026" o:spt="1" style="position:absolute;left:1529;top:2064;height:10;width:1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v:line id="直线 4" o:spid="_x0000_s1026" o:spt="20" style="position:absolute;left:1539;top:2069;height:0;width:8831;"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5" o:spid="_x0000_s1026" o:spt="1" style="position:absolute;left:10370;top:2064;height:10;width:1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line id="直线 6" o:spid="_x0000_s1026" o:spt="20" style="position:absolute;left:1534;top:2074;height:12772;width:0;"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7" o:spid="_x0000_s1026" o:spt="20" style="position:absolute;left:1539;top:14841;height:0;width:8831;" filled="f" stroked="t" coordsize="21600,21600" o:gfxdata="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JkM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8" o:spid="_x0000_s1026" o:spt="20" style="position:absolute;left:10375;top:2074;height:12772;width:0;"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group>
            </w:pict>
          </mc:Fallback>
        </mc:AlternateContent>
      </w:r>
      <w:r>
        <w:rPr>
          <w:rFonts w:hint="eastAsia"/>
          <w:sz w:val="24"/>
          <w:szCs w:val="24"/>
          <w:lang w:val="en-US" w:eastAsia="zh-CN"/>
        </w:rPr>
        <w:t>27.01h</w:t>
      </w:r>
      <w:r>
        <w:rPr>
          <w:rFonts w:hint="eastAsia"/>
          <w:sz w:val="24"/>
          <w:szCs w:val="24"/>
        </w:rPr>
        <w:t>m²，造成水土流失面积</w:t>
      </w:r>
      <w:r>
        <w:rPr>
          <w:rFonts w:hint="eastAsia"/>
          <w:sz w:val="24"/>
          <w:szCs w:val="24"/>
          <w:lang w:val="en-US" w:eastAsia="zh-CN"/>
        </w:rPr>
        <w:t>18.61h</w:t>
      </w:r>
      <w:r>
        <w:rPr>
          <w:rFonts w:hint="eastAsia"/>
          <w:sz w:val="24"/>
          <w:szCs w:val="24"/>
        </w:rPr>
        <w:t>m²；经计算得，</w:t>
      </w:r>
      <w:r>
        <w:rPr>
          <w:rFonts w:hint="default" w:ascii="Times New Roman" w:hAnsi="Times New Roman" w:cs="Times New Roman"/>
          <w:color w:val="auto"/>
          <w:spacing w:val="0"/>
          <w:sz w:val="24"/>
          <w:szCs w:val="24"/>
        </w:rPr>
        <w:t xml:space="preserve">扰动土地整治率 </w:t>
      </w:r>
      <w:r>
        <w:rPr>
          <w:rFonts w:hint="eastAsia" w:ascii="Times New Roman" w:hAnsi="Times New Roman" w:cs="Times New Roman"/>
          <w:color w:val="auto"/>
          <w:sz w:val="24"/>
          <w:szCs w:val="24"/>
          <w:lang w:eastAsia="zh-CN"/>
        </w:rPr>
        <w:t>98.5%</w:t>
      </w:r>
      <w:r>
        <w:rPr>
          <w:rFonts w:hint="default" w:ascii="Times New Roman" w:hAnsi="Times New Roman" w:cs="Times New Roman"/>
          <w:color w:val="auto"/>
          <w:spacing w:val="0"/>
          <w:sz w:val="24"/>
          <w:szCs w:val="24"/>
        </w:rPr>
        <w:t>，水土流失总治理度</w:t>
      </w:r>
      <w:r>
        <w:rPr>
          <w:rFonts w:hint="eastAsia" w:ascii="Times New Roman" w:hAnsi="Times New Roman" w:cs="Times New Roman"/>
          <w:color w:val="auto"/>
          <w:spacing w:val="0"/>
          <w:sz w:val="24"/>
          <w:szCs w:val="24"/>
          <w:lang w:val="en-US" w:eastAsia="zh-CN"/>
        </w:rPr>
        <w:t>97.8</w:t>
      </w:r>
      <w:r>
        <w:rPr>
          <w:rFonts w:hint="default" w:ascii="Times New Roman" w:hAnsi="Times New Roman" w:cs="Times New Roman" w:eastAsiaTheme="minorEastAsia"/>
          <w:color w:val="auto"/>
          <w:sz w:val="24"/>
          <w:szCs w:val="24"/>
        </w:rPr>
        <w:t>%</w:t>
      </w:r>
      <w:r>
        <w:rPr>
          <w:rFonts w:hint="default" w:ascii="Times New Roman" w:hAnsi="Times New Roman" w:cs="Times New Roman"/>
          <w:color w:val="auto"/>
          <w:sz w:val="24"/>
          <w:szCs w:val="24"/>
        </w:rPr>
        <w:t>，</w:t>
      </w:r>
      <w:r>
        <w:rPr>
          <w:rFonts w:hint="default" w:ascii="Times New Roman" w:hAnsi="Times New Roman" w:cs="Times New Roman"/>
          <w:color w:val="auto"/>
          <w:spacing w:val="0"/>
          <w:sz w:val="24"/>
          <w:szCs w:val="24"/>
        </w:rPr>
        <w:t xml:space="preserve">土壤流失控制比 </w:t>
      </w:r>
      <w:r>
        <w:rPr>
          <w:rFonts w:hint="default" w:ascii="Times New Roman" w:hAnsi="Times New Roman" w:cs="Times New Roman" w:eastAsiaTheme="minorEastAsia"/>
          <w:color w:val="auto"/>
          <w:spacing w:val="0"/>
          <w:sz w:val="24"/>
          <w:szCs w:val="24"/>
        </w:rPr>
        <w:t>1.0</w:t>
      </w:r>
      <w:r>
        <w:rPr>
          <w:rFonts w:hint="default" w:ascii="Times New Roman" w:hAnsi="Times New Roman" w:cs="Times New Roman"/>
          <w:color w:val="auto"/>
          <w:spacing w:val="0"/>
          <w:sz w:val="24"/>
          <w:szCs w:val="24"/>
        </w:rPr>
        <w:t>，拦渣率</w:t>
      </w:r>
      <w:r>
        <w:rPr>
          <w:rFonts w:hint="eastAsia" w:ascii="Times New Roman" w:hAnsi="Times New Roman" w:cs="Times New Roman"/>
          <w:color w:val="auto"/>
          <w:spacing w:val="0"/>
          <w:sz w:val="24"/>
          <w:szCs w:val="24"/>
          <w:lang w:val="en-US" w:eastAsia="zh-CN"/>
        </w:rPr>
        <w:t>99.8</w:t>
      </w:r>
      <w:r>
        <w:rPr>
          <w:rFonts w:hint="default" w:ascii="Times New Roman" w:hAnsi="Times New Roman" w:cs="Times New Roman" w:eastAsiaTheme="minorEastAsia"/>
          <w:color w:val="auto"/>
          <w:spacing w:val="0"/>
          <w:sz w:val="24"/>
          <w:szCs w:val="24"/>
        </w:rPr>
        <w:t>%</w:t>
      </w:r>
      <w:r>
        <w:rPr>
          <w:rFonts w:hint="default" w:ascii="Times New Roman" w:hAnsi="Times New Roman" w:cs="Times New Roman"/>
          <w:color w:val="auto"/>
          <w:spacing w:val="0"/>
          <w:sz w:val="24"/>
          <w:szCs w:val="24"/>
        </w:rPr>
        <w:t>，林草植被恢复率</w:t>
      </w:r>
      <w:r>
        <w:rPr>
          <w:rFonts w:hint="eastAsia" w:ascii="Times New Roman" w:hAnsi="Times New Roman" w:cs="Times New Roman"/>
          <w:color w:val="auto"/>
          <w:spacing w:val="0"/>
          <w:sz w:val="24"/>
          <w:szCs w:val="24"/>
          <w:lang w:val="en-US" w:eastAsia="zh-CN"/>
        </w:rPr>
        <w:t>99.61</w:t>
      </w:r>
      <w:r>
        <w:rPr>
          <w:rFonts w:hint="eastAsia" w:ascii="Times New Roman" w:hAnsi="Times New Roman" w:cs="Times New Roman"/>
          <w:color w:val="auto"/>
          <w:spacing w:val="0"/>
          <w:sz w:val="24"/>
          <w:szCs w:val="24"/>
          <w:lang w:eastAsia="zh-CN"/>
        </w:rPr>
        <w:t>%</w:t>
      </w:r>
      <w:r>
        <w:rPr>
          <w:rFonts w:hint="default" w:ascii="Times New Roman" w:hAnsi="Times New Roman" w:cs="Times New Roman"/>
          <w:color w:val="auto"/>
          <w:spacing w:val="0"/>
          <w:sz w:val="24"/>
          <w:szCs w:val="24"/>
        </w:rPr>
        <w:t>，林草覆盖率</w:t>
      </w:r>
      <w:r>
        <w:rPr>
          <w:rFonts w:hint="eastAsia" w:ascii="Times New Roman" w:hAnsi="Times New Roman" w:cs="Times New Roman"/>
          <w:color w:val="auto"/>
          <w:spacing w:val="0"/>
          <w:sz w:val="24"/>
          <w:szCs w:val="24"/>
          <w:lang w:val="en-US" w:eastAsia="zh-CN"/>
        </w:rPr>
        <w:t>27.9</w:t>
      </w:r>
      <w:r>
        <w:rPr>
          <w:rFonts w:hint="default" w:ascii="Times New Roman" w:hAnsi="Times New Roman" w:cs="Times New Roman" w:eastAsiaTheme="minorEastAsia"/>
          <w:color w:val="auto"/>
          <w:sz w:val="24"/>
          <w:szCs w:val="24"/>
        </w:rPr>
        <w:t>%</w:t>
      </w:r>
      <w:r>
        <w:rPr>
          <w:rFonts w:hint="eastAsia"/>
          <w:sz w:val="24"/>
          <w:szCs w:val="24"/>
        </w:rPr>
        <w:t>。各项指标监测值均达到方案设计防治目标值</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lang w:val="en-US" w:eastAsia="zh-CN"/>
        </w:rPr>
        <w:t>4、</w:t>
      </w:r>
      <w:r>
        <w:rPr>
          <w:rFonts w:hint="eastAsia"/>
          <w:spacing w:val="3"/>
          <w:sz w:val="24"/>
          <w:szCs w:val="24"/>
        </w:rPr>
        <w:t>运行期水土保持设施管护责任落实情况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92" w:firstLineChars="200"/>
        <w:jc w:val="left"/>
        <w:textAlignment w:val="auto"/>
        <w:outlineLvl w:val="9"/>
        <w:rPr>
          <w:rFonts w:hint="eastAsia"/>
          <w:spacing w:val="3"/>
          <w:sz w:val="24"/>
          <w:szCs w:val="24"/>
        </w:rPr>
      </w:pPr>
      <w:r>
        <w:rPr>
          <w:rFonts w:hint="eastAsia"/>
          <w:spacing w:val="3"/>
          <w:sz w:val="24"/>
          <w:szCs w:val="24"/>
        </w:rPr>
        <w:t>工程各项水保措施布局合理，各种措施因地制宜，各项水土保持设施建成后，工程运行交由</w:t>
      </w:r>
      <w:r>
        <w:rPr>
          <w:rFonts w:hint="eastAsia"/>
          <w:spacing w:val="3"/>
          <w:sz w:val="24"/>
          <w:szCs w:val="24"/>
          <w:lang w:eastAsia="zh-CN"/>
        </w:rPr>
        <w:t>广元市城建投资集团有限公司</w:t>
      </w:r>
      <w:r>
        <w:rPr>
          <w:rFonts w:hint="eastAsia"/>
          <w:spacing w:val="3"/>
          <w:sz w:val="24"/>
          <w:szCs w:val="24"/>
        </w:rPr>
        <w:t>管理。组织专职人员对工程完建的水土保持设施进行定期巡查、检查，若发现其存在破损现象及时组织施工人员进行修葺完善，对生长状况较差的植物措施进行了补植，并加强养护。水土保持措施目前运行良好，保持完整，起到了防治水土流失的良好作用。</w:t>
      </w:r>
    </w:p>
    <w:p>
      <w:pPr>
        <w:pStyle w:val="2"/>
        <w:spacing w:beforeLines="0" w:after="0" w:afterLines="0" w:line="360" w:lineRule="auto"/>
        <w:ind w:left="0" w:right="0" w:firstLine="480" w:firstLineChars="200"/>
        <w:jc w:val="both"/>
        <w:rPr>
          <w:sz w:val="24"/>
        </w:rPr>
      </w:pPr>
      <w:r>
        <w:rPr>
          <w:sz w:val="24"/>
        </w:rPr>
        <w:t>从目前水土保持设施运行情况来看，已建成的水土保持设施运行正常，水土保持设施管护工作已落实到位，管理工作效果明显。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pacing w:val="3"/>
          <w:sz w:val="24"/>
          <w:szCs w:val="24"/>
        </w:rPr>
      </w:pPr>
      <w:r>
        <w:rPr>
          <w:sz w:val="24"/>
        </w:rPr>
        <w:t>综上所述，</w:t>
      </w:r>
      <w:r>
        <w:rPr>
          <w:rFonts w:hint="eastAsia"/>
          <w:sz w:val="24"/>
          <w:lang w:eastAsia="zh-CN"/>
        </w:rPr>
        <w:t>本工程</w:t>
      </w:r>
      <w:r>
        <w:rPr>
          <w:sz w:val="24"/>
        </w:rPr>
        <w:t>依法编报了水土保持方案，实施了水土保持方案确定的各项防治措施，完成了批复的水土流失防治任务；已实施的水土保持设施质量合格，水土流失防治指标达到了批复的水土保持方案确定的目标值，较好地控制和减少了工程建设中的水土流失；施工过程中开展了水土保持监理、监测工作；运行期间管理维护责任落实。符合水土保持设施验收条件。</w:t>
      </w:r>
      <w:r>
        <w:rPr>
          <w:rFonts w:hint="eastAsia"/>
          <w:sz w:val="24"/>
        </w:rPr>
        <w:t>同意该项目水土保持设施通过验收。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24"/>
          <w:szCs w:val="24"/>
        </w:rPr>
      </w:pPr>
      <w:r>
        <w:rPr>
          <w:sz w:val="24"/>
          <w:szCs w:val="24"/>
        </w:rPr>
        <w:t>（七）后续管护要求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sz w:val="30"/>
        </w:rPr>
      </w:pPr>
      <w:r>
        <w:rPr>
          <w:rFonts w:hint="eastAsia"/>
          <w:sz w:val="24"/>
          <w:szCs w:val="24"/>
        </w:rPr>
        <w:t>目前，工程运行交由</w:t>
      </w:r>
      <w:r>
        <w:rPr>
          <w:rFonts w:hint="eastAsia"/>
          <w:sz w:val="24"/>
          <w:szCs w:val="24"/>
          <w:lang w:eastAsia="zh-CN"/>
        </w:rPr>
        <w:t>广元市城建投资集团有限公司</w:t>
      </w:r>
      <w:r>
        <w:rPr>
          <w:rFonts w:hint="eastAsia"/>
          <w:sz w:val="24"/>
          <w:szCs w:val="24"/>
        </w:rPr>
        <w:t>管理。组织专职人员对工程完建的水土保持设施进行定期巡查、检查，若发现其存在破损现象及时组织施工人员进行修葺完善，对生长状况较差的植物措施进行了补植，并加强养护</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outlineLvl w:val="9"/>
        <w:rPr>
          <w:sz w:val="30"/>
        </w:rPr>
        <w:sectPr>
          <w:pgSz w:w="11910" w:h="16840"/>
          <w:pgMar w:top="1440" w:right="1800" w:bottom="1440" w:left="1800" w:header="0" w:footer="1308" w:gutter="0"/>
        </w:sectPr>
      </w:pPr>
    </w:p>
    <w:p>
      <w:pPr>
        <w:spacing w:before="39"/>
        <w:ind w:right="0"/>
        <w:jc w:val="left"/>
        <w:rPr>
          <w:sz w:val="30"/>
        </w:rPr>
      </w:pPr>
      <w:r>
        <w:rPr>
          <w:sz w:val="30"/>
        </w:rPr>
        <w:t>三、验收组成员签字表</w:t>
      </w:r>
    </w:p>
    <w:tbl>
      <w:tblPr>
        <w:tblStyle w:val="3"/>
        <w:tblW w:w="8557"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1136"/>
        <w:gridCol w:w="2742"/>
        <w:gridCol w:w="1275"/>
        <w:gridCol w:w="1353"/>
        <w:gridCol w:w="1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39"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分 工</w:t>
            </w: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姓名</w:t>
            </w: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单</w:t>
            </w:r>
            <w:r>
              <w:rPr>
                <w:rFonts w:hint="default" w:ascii="Times New Roman" w:hAnsi="Times New Roman" w:eastAsia="宋体" w:cs="Times New Roman"/>
                <w:i w:val="0"/>
                <w:color w:val="auto"/>
                <w:kern w:val="0"/>
                <w:sz w:val="24"/>
                <w:szCs w:val="24"/>
                <w:u w:val="none"/>
                <w:lang w:val="en-US" w:eastAsia="zh-CN" w:bidi="ar"/>
              </w:rPr>
              <w:tab/>
            </w:r>
            <w:r>
              <w:rPr>
                <w:rFonts w:hint="default" w:ascii="Times New Roman" w:hAnsi="Times New Roman" w:eastAsia="宋体" w:cs="Times New Roman"/>
                <w:i w:val="0"/>
                <w:color w:val="auto"/>
                <w:kern w:val="0"/>
                <w:sz w:val="24"/>
                <w:szCs w:val="24"/>
                <w:u w:val="none"/>
                <w:lang w:val="en-US" w:eastAsia="zh-CN" w:bidi="ar"/>
              </w:rPr>
              <w:t>位</w:t>
            </w: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职务</w:t>
            </w:r>
            <w:r>
              <w:rPr>
                <w:rFonts w:hint="eastAsia" w:ascii="Times New Roman" w:hAnsi="Times New Roman" w:eastAsia="宋体" w:cs="Times New Roman"/>
                <w:i w:val="0"/>
                <w:color w:val="auto"/>
                <w:kern w:val="0"/>
                <w:sz w:val="24"/>
                <w:szCs w:val="24"/>
                <w:u w:val="none"/>
                <w:lang w:val="en-US" w:eastAsia="zh-CN" w:bidi="ar"/>
              </w:rPr>
              <w:t>\</w:t>
            </w:r>
            <w:r>
              <w:rPr>
                <w:rFonts w:hint="default" w:ascii="Times New Roman" w:hAnsi="Times New Roman" w:eastAsia="宋体" w:cs="Times New Roman"/>
                <w:i w:val="0"/>
                <w:color w:val="auto"/>
                <w:kern w:val="0"/>
                <w:sz w:val="24"/>
                <w:szCs w:val="24"/>
                <w:u w:val="none"/>
                <w:lang w:val="en-US" w:eastAsia="zh-CN" w:bidi="ar"/>
              </w:rPr>
              <w:t>职称</w:t>
            </w: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签 字</w:t>
            </w:r>
          </w:p>
        </w:tc>
        <w:tc>
          <w:tcPr>
            <w:tcW w:w="111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39"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组</w:t>
            </w:r>
            <w:r>
              <w:rPr>
                <w:rFonts w:hint="default" w:ascii="Times New Roman" w:hAnsi="Times New Roman" w:eastAsia="宋体" w:cs="Times New Roman"/>
                <w:i w:val="0"/>
                <w:color w:val="auto"/>
                <w:kern w:val="0"/>
                <w:sz w:val="24"/>
                <w:szCs w:val="24"/>
                <w:u w:val="none"/>
                <w:lang w:val="en-US" w:eastAsia="zh-CN" w:bidi="ar"/>
              </w:rPr>
              <w:tab/>
            </w:r>
            <w:r>
              <w:rPr>
                <w:rFonts w:hint="default" w:ascii="Times New Roman" w:hAnsi="Times New Roman" w:eastAsia="宋体" w:cs="Times New Roman"/>
                <w:i w:val="0"/>
                <w:color w:val="auto"/>
                <w:kern w:val="0"/>
                <w:sz w:val="24"/>
                <w:szCs w:val="24"/>
                <w:u w:val="none"/>
                <w:lang w:val="en-US" w:eastAsia="zh-CN" w:bidi="ar"/>
              </w:rPr>
              <w:t>长</w:t>
            </w: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39" w:type="dxa"/>
            <w:vMerge w:val="restart"/>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成</w:t>
            </w: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员</w:t>
            </w: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验收报告编制单位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39" w:type="dxa"/>
            <w:vMerge w:val="continue"/>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监测单位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39" w:type="dxa"/>
            <w:vMerge w:val="continue"/>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39" w:type="dxa"/>
            <w:vMerge w:val="continue"/>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水土保持方案编制单位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39" w:type="dxa"/>
            <w:vMerge w:val="continue"/>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2" w:hRule="atLeast"/>
        </w:trPr>
        <w:tc>
          <w:tcPr>
            <w:tcW w:w="939" w:type="dxa"/>
            <w:vMerge w:val="continue"/>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Merge w:val="restart"/>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特邀专家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39" w:type="dxa"/>
            <w:vMerge w:val="continue"/>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Merge w:val="continue"/>
            <w:vAlign w:val="center"/>
          </w:tcPr>
          <w:p>
            <w:pPr>
              <w:keepNext w:val="0"/>
              <w:keepLines w:val="0"/>
              <w:widowControl/>
              <w:suppressLineNumbers w:val="0"/>
              <w:spacing w:line="240" w:lineRule="auto"/>
              <w:ind w:firstLine="0" w:firstLineChars="0"/>
              <w:jc w:val="center"/>
              <w:textAlignment w:val="auto"/>
              <w:rPr>
                <w:rFonts w:hint="eastAsia" w:ascii="Times New Roman" w:hAnsi="Times New Roman" w:eastAsia="宋体" w:cs="Times New Roman"/>
                <w:i w:val="0"/>
                <w:color w:val="auto"/>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939" w:type="dxa"/>
            <w:vMerge w:val="continue"/>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36"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2742"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275"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353" w:type="dxa"/>
            <w:vAlign w:val="center"/>
          </w:tcPr>
          <w:p>
            <w:pPr>
              <w:keepNext w:val="0"/>
              <w:keepLines w:val="0"/>
              <w:widowControl/>
              <w:suppressLineNumbers w:val="0"/>
              <w:spacing w:line="240" w:lineRule="auto"/>
              <w:ind w:firstLine="0" w:firstLineChars="0"/>
              <w:jc w:val="center"/>
              <w:textAlignment w:val="auto"/>
              <w:rPr>
                <w:rFonts w:hint="default" w:ascii="Times New Roman" w:hAnsi="Times New Roman" w:eastAsia="宋体" w:cs="Times New Roman"/>
                <w:i w:val="0"/>
                <w:color w:val="auto"/>
                <w:kern w:val="0"/>
                <w:sz w:val="24"/>
                <w:szCs w:val="24"/>
                <w:u w:val="none"/>
                <w:lang w:val="en-US" w:eastAsia="zh-CN" w:bidi="ar"/>
              </w:rPr>
            </w:pPr>
          </w:p>
        </w:tc>
        <w:tc>
          <w:tcPr>
            <w:tcW w:w="1112" w:type="dxa"/>
            <w:vMerge w:val="continue"/>
            <w:vAlign w:val="center"/>
          </w:tcPr>
          <w:p>
            <w:pPr>
              <w:keepNext w:val="0"/>
              <w:keepLines w:val="0"/>
              <w:widowControl/>
              <w:suppressLineNumbers w:val="0"/>
              <w:spacing w:line="240" w:lineRule="auto"/>
              <w:ind w:firstLine="0" w:firstLineChars="0"/>
              <w:jc w:val="center"/>
              <w:textAlignment w:val="auto"/>
              <w:rPr>
                <w:rFonts w:hint="eastAsia" w:ascii="Times New Roman" w:hAnsi="Times New Roman" w:eastAsia="宋体" w:cs="Times New Roman"/>
                <w:i w:val="0"/>
                <w:color w:val="auto"/>
                <w:kern w:val="0"/>
                <w:sz w:val="24"/>
                <w:szCs w:val="24"/>
                <w:u w:val="none"/>
                <w:lang w:val="en-US" w:eastAsia="zh-CN" w:bidi="ar"/>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52F68"/>
    <w:rsid w:val="030858C0"/>
    <w:rsid w:val="078C7D78"/>
    <w:rsid w:val="08A82923"/>
    <w:rsid w:val="0FF6125D"/>
    <w:rsid w:val="12D72F34"/>
    <w:rsid w:val="14683AFD"/>
    <w:rsid w:val="168C76D9"/>
    <w:rsid w:val="207A59F3"/>
    <w:rsid w:val="2BD03F3A"/>
    <w:rsid w:val="320E1117"/>
    <w:rsid w:val="36F72214"/>
    <w:rsid w:val="3F550778"/>
    <w:rsid w:val="40F52F68"/>
    <w:rsid w:val="4159697E"/>
    <w:rsid w:val="424C6C19"/>
    <w:rsid w:val="447E4B8F"/>
    <w:rsid w:val="4D241BF4"/>
    <w:rsid w:val="542A3159"/>
    <w:rsid w:val="56B31FF9"/>
    <w:rsid w:val="5BCB4D0F"/>
    <w:rsid w:val="62A54F66"/>
    <w:rsid w:val="65773C44"/>
    <w:rsid w:val="70017512"/>
    <w:rsid w:val="7ACD5433"/>
    <w:rsid w:val="7CAE1868"/>
    <w:rsid w:val="7F146983"/>
    <w:rsid w:val="7F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200"/>
    </w:pPr>
    <w:rPr>
      <w:rFonts w:ascii="宋体" w:hAnsi="宋体" w:eastAsia="宋体" w:cs="宋体"/>
      <w:sz w:val="32"/>
      <w:szCs w:val="3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2017-12-19T04:13:00Z</dcterms:created>
  <dc:creator>Administrator</dc:creator>
  <cp:lastModifiedBy>Administrator</cp:lastModifiedBy>
  <dcterms:modified xsi:type="dcterms:W3CDTF">2019-11-08T16:08:34Z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